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cs="仿宋"/>
          <w:sz w:val="32"/>
          <w:szCs w:val="32"/>
          <w:lang w:val="en-US" w:eastAsia="zh-CN"/>
        </w:rPr>
      </w:pPr>
      <w:r>
        <w:rPr>
          <w:rFonts w:hint="eastAsia" w:ascii="仿宋" w:hAnsi="仿宋" w:eastAsia="仿宋" w:cs="仿宋"/>
          <w:sz w:val="32"/>
          <w:szCs w:val="32"/>
          <w:lang w:eastAsia="zh-CN"/>
        </w:rPr>
        <w:t>老城政规—</w:t>
      </w:r>
      <w:r>
        <w:rPr>
          <w:rFonts w:hint="default" w:ascii="Times New Roman" w:hAnsi="Times New Roman" w:eastAsia="仿宋" w:cs="Times New Roman"/>
          <w:sz w:val="32"/>
          <w:szCs w:val="32"/>
          <w:lang w:val="en-US" w:eastAsia="zh-CN"/>
        </w:rPr>
        <w:t>2020</w:t>
      </w:r>
      <w:r>
        <w:rPr>
          <w:rFonts w:hint="eastAsia" w:ascii="仿宋" w:hAnsi="仿宋" w:eastAsia="仿宋" w:cs="仿宋"/>
          <w:sz w:val="32"/>
          <w:szCs w:val="32"/>
          <w:lang w:val="en-US" w:eastAsia="zh-CN"/>
        </w:rPr>
        <w:t>—</w:t>
      </w:r>
      <w:r>
        <w:rPr>
          <w:rFonts w:hint="eastAsia" w:ascii="Times New Roman" w:hAnsi="Times New Roman" w:eastAsia="仿宋" w:cs="Times New Roman"/>
          <w:sz w:val="32"/>
          <w:szCs w:val="32"/>
          <w:lang w:val="en-US" w:eastAsia="zh-CN"/>
        </w:rPr>
        <w:t>2</w:t>
      </w:r>
      <w:r>
        <w:rPr>
          <w:rFonts w:hint="eastAsia" w:ascii="仿宋" w:hAnsi="仿宋" w:eastAsia="仿宋" w:cs="仿宋"/>
          <w:sz w:val="32"/>
          <w:szCs w:val="32"/>
          <w:lang w:val="en-US" w:eastAsia="zh-CN"/>
        </w:rPr>
        <w:t>号</w:t>
      </w:r>
      <w:bookmarkStart w:id="0" w:name="_GoBack"/>
      <w:bookmarkEnd w:id="0"/>
    </w:p>
    <w:p>
      <w:pPr>
        <w:jc w:val="center"/>
        <w:rPr>
          <w:rFonts w:hint="default" w:ascii="仿宋" w:hAnsi="仿宋" w:eastAsia="仿宋" w:cs="仿宋"/>
          <w:sz w:val="32"/>
          <w:szCs w:val="32"/>
          <w:lang w:val="en-US" w:eastAsia="zh-CN"/>
        </w:rPr>
      </w:pPr>
    </w:p>
    <w:p>
      <w:pPr>
        <w:pStyle w:val="6"/>
        <w:keepNext w:val="0"/>
        <w:keepLines w:val="0"/>
        <w:pageBreakBefore w:val="0"/>
        <w:widowControl/>
        <w:kinsoku/>
        <w:wordWrap w:val="0"/>
        <w:overflowPunct/>
        <w:topLinePunct w:val="0"/>
        <w:autoSpaceDE/>
        <w:autoSpaceDN/>
        <w:bidi w:val="0"/>
        <w:adjustRightInd w:val="0"/>
        <w:snapToGrid w:val="0"/>
        <w:spacing w:after="0" w:line="600" w:lineRule="exact"/>
        <w:textAlignment w:val="auto"/>
        <w:rPr>
          <w:rFonts w:hint="eastAsia" w:ascii="方正小标宋简体" w:hAnsi="方正小标宋简体" w:eastAsia="方正小标宋简体" w:cs="方正小标宋简体"/>
          <w:b w:val="0"/>
          <w:bCs/>
          <w:sz w:val="44"/>
          <w:szCs w:val="36"/>
          <w:lang w:eastAsia="zh-CN"/>
        </w:rPr>
      </w:pPr>
      <w:r>
        <w:rPr>
          <w:rFonts w:hint="eastAsia" w:ascii="方正小标宋简体" w:hAnsi="方正小标宋简体" w:eastAsia="方正小标宋简体" w:cs="方正小标宋简体"/>
          <w:b w:val="0"/>
          <w:bCs/>
          <w:sz w:val="44"/>
          <w:szCs w:val="36"/>
          <w:lang w:eastAsia="zh-CN"/>
        </w:rPr>
        <w:t>老城区人民政府</w:t>
      </w:r>
    </w:p>
    <w:p>
      <w:pPr>
        <w:pStyle w:val="6"/>
        <w:keepNext w:val="0"/>
        <w:keepLines w:val="0"/>
        <w:pageBreakBefore w:val="0"/>
        <w:widowControl/>
        <w:kinsoku/>
        <w:wordWrap w:val="0"/>
        <w:overflowPunct/>
        <w:topLinePunct w:val="0"/>
        <w:autoSpaceDE/>
        <w:autoSpaceDN/>
        <w:bidi w:val="0"/>
        <w:adjustRightInd w:val="0"/>
        <w:snapToGrid w:val="0"/>
        <w:spacing w:after="0" w:line="600" w:lineRule="exact"/>
        <w:textAlignment w:val="auto"/>
        <w:rPr>
          <w:rFonts w:hint="eastAsia" w:ascii="方正小标宋简体" w:hAnsi="方正小标宋简体" w:eastAsia="方正小标宋简体" w:cs="方正小标宋简体"/>
          <w:b w:val="0"/>
          <w:bCs/>
          <w:sz w:val="44"/>
          <w:szCs w:val="36"/>
          <w:lang w:eastAsia="zh-CN"/>
        </w:rPr>
      </w:pPr>
      <w:r>
        <w:rPr>
          <w:rFonts w:hint="eastAsia" w:ascii="方正小标宋简体" w:hAnsi="方正小标宋简体" w:eastAsia="方正小标宋简体" w:cs="方正小标宋简体"/>
          <w:b w:val="0"/>
          <w:bCs/>
          <w:sz w:val="44"/>
          <w:szCs w:val="36"/>
          <w:lang w:eastAsia="zh-CN"/>
        </w:rPr>
        <w:t>关于印发老城区持续优化双创生态加快</w:t>
      </w:r>
    </w:p>
    <w:p>
      <w:pPr>
        <w:pStyle w:val="6"/>
        <w:keepNext w:val="0"/>
        <w:keepLines w:val="0"/>
        <w:pageBreakBefore w:val="0"/>
        <w:widowControl/>
        <w:kinsoku/>
        <w:wordWrap w:val="0"/>
        <w:overflowPunct/>
        <w:topLinePunct w:val="0"/>
        <w:autoSpaceDE/>
        <w:autoSpaceDN/>
        <w:bidi w:val="0"/>
        <w:adjustRightInd w:val="0"/>
        <w:snapToGrid w:val="0"/>
        <w:spacing w:after="0" w:line="600" w:lineRule="exact"/>
        <w:textAlignment w:val="auto"/>
        <w:rPr>
          <w:rFonts w:hint="eastAsia" w:ascii="方正小标宋简体" w:hAnsi="方正小标宋简体" w:eastAsia="方正小标宋简体" w:cs="方正小标宋简体"/>
          <w:b w:val="0"/>
          <w:bCs/>
          <w:sz w:val="44"/>
          <w:szCs w:val="36"/>
          <w:lang w:eastAsia="zh-CN"/>
        </w:rPr>
      </w:pPr>
      <w:r>
        <w:rPr>
          <w:rFonts w:hint="eastAsia" w:ascii="方正小标宋简体" w:hAnsi="方正小标宋简体" w:eastAsia="方正小标宋简体" w:cs="方正小标宋简体"/>
          <w:b w:val="0"/>
          <w:bCs/>
          <w:sz w:val="44"/>
          <w:szCs w:val="36"/>
          <w:lang w:eastAsia="zh-CN"/>
        </w:rPr>
        <w:t>构建现代创新体系实施办法的通知</w:t>
      </w:r>
    </w:p>
    <w:p>
      <w:pPr>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街道办事处，区政府有关部门，</w:t>
      </w:r>
      <w:r>
        <w:rPr>
          <w:rFonts w:hint="eastAsia" w:ascii="仿宋" w:hAnsi="仿宋" w:eastAsia="仿宋" w:cs="仿宋"/>
          <w:sz w:val="32"/>
          <w:szCs w:val="32"/>
        </w:rPr>
        <w:t>各有关单位: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现将《</w:t>
      </w:r>
      <w:r>
        <w:rPr>
          <w:rFonts w:hint="eastAsia" w:ascii="仿宋" w:hAnsi="仿宋" w:eastAsia="仿宋" w:cs="仿宋"/>
          <w:sz w:val="32"/>
          <w:szCs w:val="32"/>
          <w:lang w:eastAsia="zh-CN"/>
        </w:rPr>
        <w:t>老城区持续优化双创生态加快构建现代创新体系实施办法</w:t>
      </w:r>
      <w:r>
        <w:rPr>
          <w:rFonts w:hint="eastAsia" w:ascii="仿宋" w:hAnsi="仿宋" w:eastAsia="仿宋" w:cs="仿宋"/>
          <w:sz w:val="32"/>
          <w:szCs w:val="32"/>
        </w:rPr>
        <w:t>》印发给你们,请结合实际,认真组织实施</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pPr>
        <w:spacing w:line="360" w:lineRule="auto"/>
        <w:jc w:val="center"/>
        <w:rPr>
          <w:rFonts w:hint="eastAsia" w:asciiTheme="majorEastAsia" w:hAnsiTheme="majorEastAsia" w:eastAsiaTheme="majorEastAsia"/>
          <w:b/>
          <w:color w:val="000000"/>
          <w:sz w:val="44"/>
          <w:szCs w:val="44"/>
        </w:rPr>
      </w:pPr>
    </w:p>
    <w:p>
      <w:pPr>
        <w:spacing w:line="360" w:lineRule="auto"/>
        <w:jc w:val="center"/>
        <w:rPr>
          <w:rFonts w:hint="eastAsia" w:asciiTheme="majorEastAsia" w:hAnsiTheme="majorEastAsia" w:eastAsiaTheme="majorEastAsia"/>
          <w:b/>
          <w:color w:val="000000"/>
          <w:sz w:val="44"/>
          <w:szCs w:val="44"/>
        </w:rPr>
      </w:pPr>
    </w:p>
    <w:p>
      <w:pPr>
        <w:spacing w:line="360" w:lineRule="auto"/>
        <w:jc w:val="center"/>
        <w:rPr>
          <w:rFonts w:hint="eastAsia" w:asciiTheme="majorEastAsia" w:hAnsiTheme="majorEastAsia" w:eastAsiaTheme="majorEastAsia"/>
          <w:b/>
          <w:color w:val="000000"/>
          <w:sz w:val="44"/>
          <w:szCs w:val="44"/>
        </w:rPr>
      </w:pPr>
    </w:p>
    <w:p>
      <w:pPr>
        <w:spacing w:line="360" w:lineRule="auto"/>
        <w:jc w:val="center"/>
        <w:rPr>
          <w:rFonts w:hint="eastAsia" w:asciiTheme="majorEastAsia" w:hAnsiTheme="majorEastAsia" w:eastAsiaTheme="majorEastAsia"/>
          <w:b/>
          <w:color w:val="000000"/>
          <w:sz w:val="44"/>
          <w:szCs w:val="44"/>
        </w:rPr>
      </w:pPr>
    </w:p>
    <w:p>
      <w:pPr>
        <w:spacing w:line="360" w:lineRule="auto"/>
        <w:jc w:val="center"/>
        <w:rPr>
          <w:rFonts w:hint="eastAsia" w:asciiTheme="majorEastAsia" w:hAnsiTheme="majorEastAsia" w:eastAsiaTheme="majorEastAsia"/>
          <w:b/>
          <w:color w:val="000000"/>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Theme="majorEastAsia" w:hAnsiTheme="majorEastAsia" w:eastAsiaTheme="majorEastAsia"/>
          <w:b/>
          <w:color w:val="000000"/>
          <w:sz w:val="44"/>
          <w:szCs w:val="44"/>
        </w:rPr>
      </w:pPr>
    </w:p>
    <w:p>
      <w:pPr>
        <w:pStyle w:val="6"/>
        <w:keepNext w:val="0"/>
        <w:keepLines w:val="0"/>
        <w:pageBreakBefore w:val="0"/>
        <w:widowControl/>
        <w:kinsoku/>
        <w:wordWrap w:val="0"/>
        <w:overflowPunct/>
        <w:topLinePunct w:val="0"/>
        <w:autoSpaceDE/>
        <w:autoSpaceDN/>
        <w:bidi w:val="0"/>
        <w:adjustRightInd w:val="0"/>
        <w:snapToGrid w:val="0"/>
        <w:spacing w:after="0" w:line="600" w:lineRule="exact"/>
        <w:textAlignment w:val="auto"/>
        <w:rPr>
          <w:rFonts w:hint="eastAsia" w:hAnsi="Times New Roman"/>
          <w:b w:val="0"/>
          <w:bCs/>
          <w:sz w:val="44"/>
          <w:szCs w:val="36"/>
          <w:lang w:eastAsia="zh-CN"/>
        </w:rPr>
      </w:pPr>
      <w:r>
        <w:rPr>
          <w:rFonts w:hint="eastAsia" w:hAnsi="Times New Roman"/>
          <w:b w:val="0"/>
          <w:bCs/>
          <w:sz w:val="44"/>
          <w:szCs w:val="36"/>
          <w:lang w:eastAsia="zh-CN"/>
        </w:rPr>
        <w:t>老城区持续优化双创生态加快构建现代</w:t>
      </w:r>
    </w:p>
    <w:p>
      <w:pPr>
        <w:pStyle w:val="6"/>
        <w:keepNext w:val="0"/>
        <w:keepLines w:val="0"/>
        <w:pageBreakBefore w:val="0"/>
        <w:widowControl/>
        <w:kinsoku/>
        <w:wordWrap w:val="0"/>
        <w:overflowPunct/>
        <w:topLinePunct w:val="0"/>
        <w:autoSpaceDE/>
        <w:autoSpaceDN/>
        <w:bidi w:val="0"/>
        <w:adjustRightInd w:val="0"/>
        <w:snapToGrid w:val="0"/>
        <w:spacing w:after="0" w:line="600" w:lineRule="exact"/>
        <w:textAlignment w:val="auto"/>
        <w:rPr>
          <w:rFonts w:hint="eastAsia" w:hAnsi="Times New Roman"/>
          <w:b w:val="0"/>
          <w:bCs/>
          <w:sz w:val="44"/>
          <w:szCs w:val="36"/>
          <w:lang w:eastAsia="zh-CN"/>
        </w:rPr>
      </w:pPr>
      <w:r>
        <w:rPr>
          <w:rFonts w:hint="eastAsia" w:hAnsi="Times New Roman"/>
          <w:b w:val="0"/>
          <w:bCs/>
          <w:sz w:val="44"/>
          <w:szCs w:val="36"/>
          <w:lang w:eastAsia="zh-CN"/>
        </w:rPr>
        <w:t>创新体系实施办法</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heme="majorEastAsia" w:hAnsiTheme="majorEastAsia" w:eastAsiaTheme="majorEastAsia"/>
          <w:b/>
          <w:color w:val="000000"/>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仿宋"/>
          <w:color w:val="000000"/>
          <w:sz w:val="32"/>
          <w:szCs w:val="32"/>
        </w:rPr>
      </w:pPr>
      <w:r>
        <w:rPr>
          <w:rFonts w:hint="eastAsia" w:eastAsia="黑体"/>
          <w:color w:val="000000"/>
          <w:sz w:val="32"/>
          <w:szCs w:val="32"/>
        </w:rPr>
        <w:t>第一条</w:t>
      </w:r>
      <w:r>
        <w:rPr>
          <w:rFonts w:hint="eastAsia" w:eastAsia="仿宋_GB2312"/>
          <w:color w:val="000000"/>
          <w:sz w:val="32"/>
          <w:szCs w:val="32"/>
        </w:rPr>
        <w:t xml:space="preserve">  </w:t>
      </w:r>
      <w:r>
        <w:rPr>
          <w:rFonts w:hint="eastAsia" w:ascii="仿宋" w:hAnsi="仿宋" w:eastAsia="仿宋" w:cs="仿宋"/>
          <w:sz w:val="32"/>
          <w:szCs w:val="32"/>
        </w:rPr>
        <w:t>为全面贯彻党的十九大和十九届二中、三中、四中、五中全会和习近平总书记视察河南重要讲话精神，落实《中共河南省委河南省人民政府关于支持洛阳以开放</w:t>
      </w:r>
      <w:r>
        <w:rPr>
          <w:rFonts w:hint="eastAsia" w:ascii="仿宋" w:hAnsi="仿宋" w:eastAsia="仿宋" w:cs="仿宋"/>
          <w:sz w:val="32"/>
          <w:szCs w:val="32"/>
          <w:lang w:eastAsia="zh-CN"/>
        </w:rPr>
        <w:t>为</w:t>
      </w:r>
      <w:r>
        <w:rPr>
          <w:rFonts w:hint="eastAsia" w:ascii="仿宋" w:hAnsi="仿宋" w:eastAsia="仿宋" w:cs="仿宋"/>
          <w:sz w:val="32"/>
          <w:szCs w:val="32"/>
        </w:rPr>
        <w:t>引领加快建设中原城市群副中心城市的若干意见》以及省科技厅等九厅委出台的《河南省加快培育创新型企业三年行动（2020—2022）》文件，厚植创新驱动发展新优势，加快构建现代创新体系，推动创新创业高质量发展，深入开展企业成长促进行动，营造瞪羚企业和独角兽企业破茧而出、茁壮成长的生态环境，创新科技成果转化机制，努力培育壮大推动产业创新的“专精特新”优势企业群体，支撑副中心城市建设</w:t>
      </w:r>
      <w:r>
        <w:rPr>
          <w:rFonts w:hint="eastAsia" w:ascii="仿宋" w:hAnsi="仿宋" w:eastAsia="仿宋" w:cs="仿宋"/>
          <w:b/>
          <w:sz w:val="32"/>
          <w:szCs w:val="32"/>
        </w:rPr>
        <w:t>。</w:t>
      </w:r>
      <w:r>
        <w:rPr>
          <w:rFonts w:hint="eastAsia" w:ascii="仿宋" w:hAnsi="仿宋" w:eastAsia="仿宋" w:cs="仿宋"/>
          <w:sz w:val="32"/>
          <w:szCs w:val="32"/>
        </w:rPr>
        <w:t>依据</w:t>
      </w:r>
      <w:r>
        <w:rPr>
          <w:rFonts w:hint="eastAsia" w:ascii="仿宋" w:hAnsi="仿宋" w:eastAsia="仿宋" w:cs="仿宋"/>
          <w:sz w:val="32"/>
          <w:szCs w:val="32"/>
          <w:lang w:eastAsia="zh-CN"/>
        </w:rPr>
        <w:t>《</w:t>
      </w:r>
      <w:r>
        <w:rPr>
          <w:rFonts w:hint="eastAsia" w:ascii="仿宋" w:hAnsi="仿宋" w:eastAsia="仿宋" w:cs="仿宋"/>
          <w:color w:val="000000"/>
          <w:sz w:val="32"/>
          <w:szCs w:val="32"/>
        </w:rPr>
        <w:t>洛阳市构建良好双创生态加快创新主体梯度培育实施</w:t>
      </w:r>
      <w:r>
        <w:rPr>
          <w:rFonts w:hint="eastAsia" w:ascii="仿宋" w:hAnsi="仿宋" w:eastAsia="仿宋" w:cs="仿宋"/>
          <w:sz w:val="32"/>
          <w:szCs w:val="32"/>
        </w:rPr>
        <w:t>办法》，结合老城实际，制定本办法。</w:t>
      </w:r>
    </w:p>
    <w:p>
      <w:pPr>
        <w:pStyle w:val="11"/>
        <w:keepNext w:val="0"/>
        <w:keepLines w:val="0"/>
        <w:pageBreakBefore w:val="0"/>
        <w:shd w:val="clear" w:color="auto" w:fill="FFFFFF"/>
        <w:kinsoku/>
        <w:wordWrap/>
        <w:overflowPunct/>
        <w:topLinePunct w:val="0"/>
        <w:bidi w:val="0"/>
        <w:spacing w:line="560" w:lineRule="exact"/>
        <w:ind w:firstLine="640" w:firstLineChars="200"/>
        <w:textAlignment w:val="auto"/>
        <w:rPr>
          <w:rFonts w:ascii="仿宋" w:hAnsi="仿宋" w:eastAsia="仿宋" w:cs="仿宋"/>
          <w:kern w:val="2"/>
          <w:sz w:val="32"/>
          <w:szCs w:val="32"/>
        </w:rPr>
      </w:pPr>
      <w:r>
        <w:rPr>
          <w:rFonts w:hint="eastAsia" w:ascii="Times New Roman" w:hAnsi="Times New Roman" w:eastAsia="黑体" w:cs="Times New Roman"/>
          <w:color w:val="000000"/>
          <w:sz w:val="32"/>
          <w:szCs w:val="32"/>
        </w:rPr>
        <w:t xml:space="preserve">第二条  </w:t>
      </w:r>
      <w:r>
        <w:rPr>
          <w:rFonts w:hint="eastAsia" w:ascii="仿宋" w:hAnsi="仿宋" w:eastAsia="仿宋" w:cs="仿宋"/>
          <w:kern w:val="2"/>
          <w:sz w:val="32"/>
          <w:szCs w:val="32"/>
        </w:rPr>
        <w:t>本办法中的创新主体包括：国家科技型中小企业、高新技术企业、独角兽（种子）企业、瞪羚企业（科技小巨人企业）、入围洛阳市的“河洛英才”团队、“玉洛汇”计划团队（企业）、高新技术后备企业等。</w:t>
      </w:r>
    </w:p>
    <w:p>
      <w:pPr>
        <w:pStyle w:val="11"/>
        <w:keepNext w:val="0"/>
        <w:keepLines w:val="0"/>
        <w:pageBreakBefore w:val="0"/>
        <w:shd w:val="clear" w:color="auto" w:fill="FFFFFF"/>
        <w:kinsoku/>
        <w:wordWrap/>
        <w:overflowPunct/>
        <w:topLinePunct w:val="0"/>
        <w:bidi w:val="0"/>
        <w:spacing w:line="560" w:lineRule="exact"/>
        <w:ind w:firstLine="640" w:firstLineChars="200"/>
        <w:textAlignment w:val="auto"/>
        <w:rPr>
          <w:rFonts w:ascii="仿宋" w:hAnsi="仿宋" w:eastAsia="仿宋" w:cs="仿宋"/>
          <w:kern w:val="2"/>
          <w:sz w:val="32"/>
          <w:szCs w:val="32"/>
        </w:rPr>
      </w:pPr>
      <w:r>
        <w:rPr>
          <w:rFonts w:hint="eastAsia" w:ascii="Times New Roman" w:hAnsi="Times New Roman" w:eastAsia="黑体" w:cs="Times New Roman"/>
          <w:color w:val="000000"/>
          <w:sz w:val="32"/>
          <w:szCs w:val="32"/>
        </w:rPr>
        <w:t xml:space="preserve">第三条  </w:t>
      </w:r>
      <w:r>
        <w:rPr>
          <w:rFonts w:hint="eastAsia" w:ascii="仿宋" w:hAnsi="仿宋" w:eastAsia="仿宋" w:cs="仿宋"/>
          <w:kern w:val="2"/>
          <w:sz w:val="32"/>
          <w:szCs w:val="32"/>
        </w:rPr>
        <w:t>本办法中的创新创业载体及平台包括：众创空间（星创天地）、专业化众创空间（中试基地）、科技企业孵化器（新型研发机构）、文化科技融合示范基地、创新创业大赛以及国家、省、市级企业研发中心、工程技术中心、企业技术中心等。</w:t>
      </w:r>
    </w:p>
    <w:p>
      <w:pPr>
        <w:pStyle w:val="11"/>
        <w:keepNext w:val="0"/>
        <w:keepLines w:val="0"/>
        <w:pageBreakBefore w:val="0"/>
        <w:shd w:val="clear" w:color="auto" w:fill="FFFFFF"/>
        <w:kinsoku/>
        <w:wordWrap/>
        <w:overflowPunct/>
        <w:topLinePunct w:val="0"/>
        <w:bidi w:val="0"/>
        <w:spacing w:line="560" w:lineRule="exact"/>
        <w:ind w:firstLine="640" w:firstLineChars="200"/>
        <w:textAlignment w:val="auto"/>
        <w:rPr>
          <w:rFonts w:ascii="仿宋" w:hAnsi="仿宋" w:eastAsia="仿宋" w:cs="仿宋"/>
          <w:kern w:val="2"/>
          <w:sz w:val="32"/>
          <w:szCs w:val="32"/>
        </w:rPr>
      </w:pPr>
      <w:r>
        <w:rPr>
          <w:rFonts w:hint="eastAsia" w:ascii="Times New Roman" w:hAnsi="Times New Roman" w:eastAsia="黑体" w:cs="Times New Roman"/>
          <w:color w:val="000000"/>
          <w:sz w:val="32"/>
          <w:szCs w:val="32"/>
        </w:rPr>
        <w:t>第四条</w:t>
      </w:r>
      <w:r>
        <w:rPr>
          <w:rFonts w:hint="eastAsia" w:ascii="Times New Roman" w:hAnsi="Times New Roman" w:eastAsia="仿宋_GB2312" w:cs="Times New Roman"/>
          <w:color w:val="333333"/>
          <w:sz w:val="32"/>
          <w:szCs w:val="32"/>
        </w:rPr>
        <w:t xml:space="preserve">  </w:t>
      </w:r>
      <w:r>
        <w:rPr>
          <w:rFonts w:hint="eastAsia" w:ascii="仿宋" w:hAnsi="仿宋" w:eastAsia="仿宋" w:cs="仿宋"/>
          <w:kern w:val="2"/>
          <w:sz w:val="32"/>
          <w:szCs w:val="32"/>
        </w:rPr>
        <w:t>建立科技型中小企业、高新技术企业培育库等创新主体培育库，围绕洛阳市实施的大学生创新创业的“玉洛汇”计划（以下简称“玉洛汇”计划），国家科技型中小企业培育的“春笋计划”（以下简称“春笋计划”），科技型中小企业升级高新技术企业计划（以下简称“科升高”计划），高新技术企业分类培育成长为瞪羚企业、创新龙头企业、独角兽（种子）企业计划（以下简称“高企提升”计划），以及创新创业载体提质增效计划（以下简称“载体提质”计划）等五大计划，构建从大学生创新创业团队（企业）、国家科技型中小企业信息库备案企业（以下简称“科技型中小企业”）、高新技术后备企业、高新技术企业、科技小巨人企业、瞪羚企业、独角兽种子企业到独角兽企业的成长培育机制，打造众创空间（星创天地）、专业化众创空间（中试基地）、科技企业孵化器（新型研发机构）等创新创业分层孵化体系，对创新型企业实行梯度培育，推动创新创业载体平台、创新主体高质量发展。</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cs="仿宋"/>
          <w:kern w:val="2"/>
          <w:sz w:val="32"/>
          <w:szCs w:val="32"/>
        </w:rPr>
      </w:pPr>
      <w:r>
        <w:rPr>
          <w:rFonts w:hint="eastAsia" w:eastAsia="黑体"/>
          <w:color w:val="000000"/>
          <w:sz w:val="32"/>
          <w:szCs w:val="32"/>
        </w:rPr>
        <w:t>第五条</w:t>
      </w:r>
      <w:r>
        <w:rPr>
          <w:rStyle w:val="9"/>
          <w:rFonts w:hint="eastAsia" w:eastAsia="仿宋_GB2312"/>
          <w:sz w:val="32"/>
          <w:szCs w:val="32"/>
        </w:rPr>
        <w:t xml:space="preserve">  </w:t>
      </w:r>
      <w:r>
        <w:rPr>
          <w:rFonts w:hint="eastAsia" w:ascii="仿宋" w:hAnsi="仿宋" w:eastAsia="仿宋" w:cs="仿宋"/>
          <w:sz w:val="32"/>
          <w:szCs w:val="32"/>
        </w:rPr>
        <w:t>支持“玉洛汇”计划。进一步提高“玉洛汇”计划政策覆盖度，吸引大学生创新创业团队（企业）汇聚老城，重点鼓励大学生创新创业团队（企业）落户我区创新创业孵化载体。对在我区市级及以上孵化载体完成企业注册，运行一年以上且财务制度健全的，区财政给予5000元一次性奖励，对符合洛阳市“玉洛汇”条件，获得市级“玉洛汇”奖补的，区财政再给予市级奖补资金20%的配套奖补。</w:t>
      </w:r>
    </w:p>
    <w:p>
      <w:pPr>
        <w:pStyle w:val="3"/>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cs="仿宋"/>
          <w:sz w:val="32"/>
          <w:szCs w:val="32"/>
        </w:rPr>
      </w:pPr>
      <w:r>
        <w:rPr>
          <w:rFonts w:hint="eastAsia" w:eastAsia="黑体"/>
          <w:color w:val="000000"/>
          <w:kern w:val="0"/>
          <w:sz w:val="32"/>
          <w:szCs w:val="32"/>
        </w:rPr>
        <w:t xml:space="preserve">第六条  </w:t>
      </w:r>
      <w:r>
        <w:rPr>
          <w:rFonts w:hint="eastAsia" w:ascii="仿宋" w:hAnsi="仿宋" w:eastAsia="仿宋" w:cs="仿宋"/>
          <w:sz w:val="32"/>
          <w:szCs w:val="32"/>
        </w:rPr>
        <w:t>支持有条件的企业建设研发平台，为技术人员开展研发活动提供阵地保障。凡获批市级企业研发中心(包括企业技术中心、工业设计中心)等市级研发平台的区财政给予3万元一次性奖励：获批省级工程技术中心（企业技术中心、工业设计中心）等省级研发平台的给予10万元奖励：获批国家级研发平台的给予50万元奖励。</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cs="仿宋"/>
          <w:sz w:val="32"/>
          <w:szCs w:val="32"/>
        </w:rPr>
      </w:pPr>
      <w:r>
        <w:rPr>
          <w:rFonts w:hint="eastAsia" w:eastAsia="黑体"/>
          <w:color w:val="000000"/>
          <w:sz w:val="32"/>
          <w:szCs w:val="32"/>
        </w:rPr>
        <w:t>第七条</w:t>
      </w:r>
      <w:r>
        <w:rPr>
          <w:rStyle w:val="9"/>
          <w:rFonts w:hint="eastAsia" w:eastAsia="仿宋_GB2312"/>
          <w:sz w:val="32"/>
          <w:szCs w:val="32"/>
        </w:rPr>
        <w:t xml:space="preserve">  </w:t>
      </w:r>
      <w:r>
        <w:rPr>
          <w:rFonts w:hint="eastAsia" w:ascii="仿宋" w:hAnsi="仿宋" w:eastAsia="仿宋" w:cs="仿宋"/>
          <w:sz w:val="32"/>
          <w:szCs w:val="32"/>
        </w:rPr>
        <w:t>鼓励有条件的中小企业加大研发投入，开展新产品研发、知识产权保护等科技创新活动，支持具备条件的中小企业转型为科技型中小企业。同时，对在河南省科技研发管理系统备案、经税务、科技部门认定的研发项目享受研发费后补助政策，区级按规定比例落实配套补助。对具有自主知识产权，连续3年通过国家科技型中小企业评价且建有市级企业研发中心的企业，除市</w:t>
      </w:r>
      <w:r>
        <w:rPr>
          <w:rFonts w:hint="eastAsia" w:ascii="仿宋" w:hAnsi="仿宋" w:eastAsia="仿宋" w:cs="仿宋"/>
          <w:sz w:val="32"/>
          <w:szCs w:val="32"/>
          <w:lang w:eastAsia="zh-CN"/>
        </w:rPr>
        <w:t>级</w:t>
      </w:r>
      <w:r>
        <w:rPr>
          <w:rFonts w:hint="eastAsia" w:ascii="仿宋" w:hAnsi="仿宋" w:eastAsia="仿宋" w:cs="仿宋"/>
          <w:sz w:val="32"/>
          <w:szCs w:val="32"/>
        </w:rPr>
        <w:t>奖励外，区财政对“规上”</w:t>
      </w:r>
      <w:r>
        <w:rPr>
          <w:rFonts w:hint="eastAsia" w:ascii="仿宋" w:hAnsi="仿宋" w:eastAsia="仿宋" w:cs="仿宋"/>
          <w:sz w:val="32"/>
          <w:szCs w:val="32"/>
          <w:lang w:eastAsia="zh-CN"/>
        </w:rPr>
        <w:t>（工业产值</w:t>
      </w:r>
      <w:r>
        <w:rPr>
          <w:rFonts w:hint="eastAsia" w:ascii="仿宋" w:hAnsi="仿宋" w:eastAsia="仿宋" w:cs="仿宋"/>
          <w:sz w:val="32"/>
          <w:szCs w:val="32"/>
          <w:lang w:val="en-US" w:eastAsia="zh-CN"/>
        </w:rPr>
        <w:t>2000万元以上，服务业产值1000万元以上</w:t>
      </w:r>
      <w:r>
        <w:rPr>
          <w:rFonts w:hint="eastAsia" w:ascii="仿宋" w:hAnsi="仿宋" w:eastAsia="仿宋" w:cs="仿宋"/>
          <w:sz w:val="32"/>
          <w:szCs w:val="32"/>
          <w:lang w:eastAsia="zh-CN"/>
        </w:rPr>
        <w:t>）</w:t>
      </w:r>
      <w:r>
        <w:rPr>
          <w:rFonts w:hint="eastAsia" w:ascii="仿宋" w:hAnsi="仿宋" w:eastAsia="仿宋" w:cs="仿宋"/>
          <w:sz w:val="32"/>
          <w:szCs w:val="32"/>
        </w:rPr>
        <w:t>企业给予2万元配套奖励。</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仿宋"/>
          <w:sz w:val="32"/>
          <w:szCs w:val="32"/>
        </w:rPr>
      </w:pPr>
      <w:r>
        <w:rPr>
          <w:rFonts w:hint="eastAsia" w:eastAsia="黑体"/>
          <w:color w:val="000000"/>
          <w:sz w:val="32"/>
          <w:szCs w:val="32"/>
        </w:rPr>
        <w:t>第八条</w:t>
      </w:r>
      <w:r>
        <w:rPr>
          <w:rFonts w:hint="eastAsia" w:eastAsia="仿宋_GB2312"/>
          <w:sz w:val="32"/>
          <w:szCs w:val="32"/>
        </w:rPr>
        <w:t xml:space="preserve">  </w:t>
      </w:r>
      <w:r>
        <w:rPr>
          <w:rFonts w:hint="eastAsia" w:ascii="仿宋" w:hAnsi="仿宋" w:eastAsia="仿宋" w:cs="仿宋"/>
          <w:sz w:val="32"/>
          <w:szCs w:val="32"/>
        </w:rPr>
        <w:t>实施“科升高”培育计划。选择一批科技型中小企业纳入高新技术企业培育库进行重点培育，引导企业完善研发管理制度，规范企业管理，加大研发投入，加强知识产权保护，逐步达到高新技术企业认定条件。高新技术企业培育库实行动态管理，入库企业培育期最长不超过3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仿宋"/>
          <w:sz w:val="32"/>
          <w:szCs w:val="32"/>
        </w:rPr>
      </w:pPr>
      <w:r>
        <w:rPr>
          <w:rFonts w:hint="eastAsia" w:eastAsia="楷体_GB2312"/>
          <w:bCs/>
          <w:sz w:val="32"/>
          <w:szCs w:val="32"/>
        </w:rPr>
        <w:t>（一）鼓励企业开展高新技术企业认定。</w:t>
      </w:r>
      <w:r>
        <w:rPr>
          <w:rFonts w:hint="eastAsia" w:ascii="仿宋" w:hAnsi="仿宋" w:eastAsia="仿宋" w:cs="仿宋"/>
          <w:sz w:val="32"/>
          <w:szCs w:val="32"/>
        </w:rPr>
        <w:t>区科技、税务、财政及各办事处要通力合作、加大支持力度，强化服务指导，优化服务方式，畅通申报渠道，在省、市高新技术企业认定管理工作领导小组规定的范围内依法依规、各司其职做好高企申报推荐、管理服务工作，切实形成支持高新技术企业发展的工作合力。</w:t>
      </w:r>
      <w:r>
        <w:rPr>
          <w:rFonts w:hint="eastAsia" w:ascii="仿宋" w:hAnsi="仿宋" w:eastAsia="仿宋" w:cs="仿宋"/>
          <w:sz w:val="32"/>
          <w:szCs w:val="32"/>
          <w:lang w:eastAsia="zh-CN"/>
        </w:rPr>
        <w:t>对孵化载体内的科技型企业优先推荐申报高新技术企业。</w:t>
      </w:r>
      <w:r>
        <w:rPr>
          <w:rFonts w:hint="eastAsia" w:ascii="仿宋" w:hAnsi="仿宋" w:eastAsia="仿宋" w:cs="仿宋"/>
          <w:sz w:val="32"/>
          <w:szCs w:val="32"/>
        </w:rPr>
        <w:t>对首次通过高新技术企业认定的企业，除</w:t>
      </w:r>
      <w:r>
        <w:rPr>
          <w:rFonts w:hint="eastAsia" w:ascii="仿宋" w:hAnsi="仿宋" w:eastAsia="仿宋" w:cs="仿宋"/>
          <w:sz w:val="32"/>
          <w:szCs w:val="32"/>
          <w:lang w:eastAsia="zh-CN"/>
        </w:rPr>
        <w:t>上级</w:t>
      </w:r>
      <w:r>
        <w:rPr>
          <w:rFonts w:hint="eastAsia" w:ascii="仿宋" w:hAnsi="仿宋" w:eastAsia="仿宋" w:cs="仿宋"/>
          <w:sz w:val="32"/>
          <w:szCs w:val="32"/>
        </w:rPr>
        <w:t>奖励外，区财政按企业规模予以配套奖励：（1）上年销售收入在2000万元（含2000万元）以上的给予10万元配套奖励；（2）上年销售收入在500—2000万元的给予5万元配套奖励；（3）上年销售收入在500万元以下</w:t>
      </w:r>
      <w:r>
        <w:rPr>
          <w:rFonts w:hint="eastAsia" w:ascii="仿宋" w:hAnsi="仿宋" w:eastAsia="仿宋" w:cs="仿宋"/>
          <w:sz w:val="32"/>
          <w:szCs w:val="32"/>
          <w:lang w:eastAsia="zh-CN"/>
        </w:rPr>
        <w:t>且入驻区创新载体</w:t>
      </w:r>
      <w:r>
        <w:rPr>
          <w:rFonts w:hint="eastAsia" w:ascii="仿宋" w:hAnsi="仿宋" w:eastAsia="仿宋" w:cs="仿宋"/>
          <w:sz w:val="32"/>
          <w:szCs w:val="32"/>
        </w:rPr>
        <w:t>的</w:t>
      </w:r>
      <w:r>
        <w:rPr>
          <w:rFonts w:hint="eastAsia" w:ascii="仿宋" w:hAnsi="仿宋" w:eastAsia="仿宋" w:cs="仿宋"/>
          <w:sz w:val="32"/>
          <w:szCs w:val="32"/>
          <w:lang w:eastAsia="zh-CN"/>
        </w:rPr>
        <w:t>企业</w:t>
      </w:r>
      <w:r>
        <w:rPr>
          <w:rFonts w:hint="eastAsia" w:ascii="仿宋" w:hAnsi="仿宋" w:eastAsia="仿宋" w:cs="仿宋"/>
          <w:sz w:val="32"/>
          <w:szCs w:val="32"/>
        </w:rPr>
        <w:t>给予2万元配套奖励。对通过重新认定的高新技术企业，除</w:t>
      </w:r>
      <w:r>
        <w:rPr>
          <w:rFonts w:hint="eastAsia" w:ascii="仿宋" w:hAnsi="仿宋" w:eastAsia="仿宋" w:cs="仿宋"/>
          <w:sz w:val="32"/>
          <w:szCs w:val="32"/>
          <w:lang w:eastAsia="zh-CN"/>
        </w:rPr>
        <w:t>上级</w:t>
      </w:r>
      <w:r>
        <w:rPr>
          <w:rFonts w:hint="eastAsia" w:ascii="仿宋" w:hAnsi="仿宋" w:eastAsia="仿宋" w:cs="仿宋"/>
          <w:sz w:val="32"/>
          <w:szCs w:val="32"/>
        </w:rPr>
        <w:t>奖励</w:t>
      </w:r>
      <w:r>
        <w:rPr>
          <w:rFonts w:hint="eastAsia" w:ascii="仿宋" w:hAnsi="仿宋" w:eastAsia="仿宋" w:cs="仿宋"/>
          <w:sz w:val="32"/>
          <w:szCs w:val="32"/>
          <w:lang w:eastAsia="zh-CN"/>
        </w:rPr>
        <w:t>外</w:t>
      </w:r>
      <w:r>
        <w:rPr>
          <w:rFonts w:hint="eastAsia" w:ascii="仿宋" w:hAnsi="仿宋" w:eastAsia="仿宋" w:cs="仿宋"/>
          <w:sz w:val="32"/>
          <w:szCs w:val="32"/>
        </w:rPr>
        <w:t>，区财政对规模以上</w:t>
      </w:r>
      <w:r>
        <w:rPr>
          <w:rFonts w:hint="eastAsia" w:ascii="仿宋" w:hAnsi="仿宋" w:eastAsia="仿宋" w:cs="仿宋"/>
          <w:sz w:val="32"/>
          <w:szCs w:val="32"/>
          <w:lang w:eastAsia="zh-CN"/>
        </w:rPr>
        <w:t>（工业产值</w:t>
      </w:r>
      <w:r>
        <w:rPr>
          <w:rFonts w:hint="eastAsia" w:ascii="仿宋" w:hAnsi="仿宋" w:eastAsia="仿宋" w:cs="仿宋"/>
          <w:sz w:val="32"/>
          <w:szCs w:val="32"/>
          <w:lang w:val="en-US" w:eastAsia="zh-CN"/>
        </w:rPr>
        <w:t>2000万元以上，服务业产值1000万元以上</w:t>
      </w:r>
      <w:r>
        <w:rPr>
          <w:rFonts w:hint="eastAsia" w:ascii="仿宋" w:hAnsi="仿宋" w:eastAsia="仿宋" w:cs="仿宋"/>
          <w:sz w:val="32"/>
          <w:szCs w:val="32"/>
          <w:lang w:eastAsia="zh-CN"/>
        </w:rPr>
        <w:t>）</w:t>
      </w:r>
      <w:r>
        <w:rPr>
          <w:rFonts w:hint="eastAsia" w:ascii="仿宋" w:hAnsi="仿宋" w:eastAsia="仿宋" w:cs="仿宋"/>
          <w:sz w:val="32"/>
          <w:szCs w:val="32"/>
        </w:rPr>
        <w:t>高新技术企业给予5万元</w:t>
      </w:r>
      <w:r>
        <w:rPr>
          <w:rFonts w:hint="eastAsia" w:ascii="仿宋" w:hAnsi="仿宋" w:eastAsia="仿宋" w:cs="仿宋"/>
          <w:sz w:val="32"/>
          <w:szCs w:val="32"/>
          <w:lang w:eastAsia="zh-CN"/>
        </w:rPr>
        <w:t>配套奖励</w:t>
      </w:r>
      <w:r>
        <w:rPr>
          <w:rFonts w:hint="eastAsia" w:ascii="仿宋" w:hAnsi="仿宋" w:eastAsia="仿宋" w:cs="仿宋"/>
          <w:sz w:val="32"/>
          <w:szCs w:val="32"/>
        </w:rPr>
        <w:t>。以上奖励</w:t>
      </w:r>
      <w:r>
        <w:rPr>
          <w:rFonts w:hint="eastAsia" w:ascii="仿宋" w:hAnsi="仿宋" w:eastAsia="仿宋" w:cs="仿宋"/>
          <w:sz w:val="32"/>
          <w:szCs w:val="32"/>
          <w:lang w:eastAsia="zh-CN"/>
        </w:rPr>
        <w:t>均</w:t>
      </w:r>
      <w:r>
        <w:rPr>
          <w:rFonts w:hint="eastAsia" w:ascii="仿宋" w:hAnsi="仿宋" w:eastAsia="仿宋" w:cs="仿宋"/>
          <w:sz w:val="32"/>
          <w:szCs w:val="32"/>
        </w:rPr>
        <w:t>以税务部门认可的财务报表为准。</w:t>
      </w:r>
      <w:r>
        <w:rPr>
          <w:rFonts w:hint="eastAsia" w:ascii="宋体" w:hAnsi="宋体" w:eastAsia="宋体" w:cs="宋体"/>
          <w:sz w:val="32"/>
          <w:szCs w:val="32"/>
        </w:rPr>
        <w:t>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仿宋"/>
          <w:sz w:val="32"/>
          <w:szCs w:val="32"/>
        </w:rPr>
      </w:pPr>
      <w:r>
        <w:rPr>
          <w:rFonts w:hint="eastAsia" w:eastAsia="楷体_GB2312"/>
          <w:bCs/>
          <w:sz w:val="32"/>
          <w:szCs w:val="32"/>
        </w:rPr>
        <w:t>（二）支持引进市外高新技术企业。对</w:t>
      </w:r>
      <w:r>
        <w:rPr>
          <w:rFonts w:hint="eastAsia" w:ascii="仿宋" w:hAnsi="仿宋" w:eastAsia="仿宋" w:cs="仿宋"/>
          <w:sz w:val="32"/>
          <w:szCs w:val="32"/>
        </w:rPr>
        <w:t>洛阳市外整体迁入我区的高新技术企业, 落地老城一年后享受首次认定配套奖补政策; 对洛阳市外高新技术企业在我区设立具备独立法人资格的科技型子公司, 直接纳入高新技术企业培育库。</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cs="Times New Roman"/>
          <w:sz w:val="32"/>
          <w:szCs w:val="32"/>
        </w:rPr>
      </w:pPr>
      <w:r>
        <w:rPr>
          <w:rFonts w:hint="eastAsia" w:eastAsia="黑体"/>
          <w:color w:val="000000"/>
          <w:sz w:val="32"/>
          <w:szCs w:val="32"/>
        </w:rPr>
        <w:t>第九条</w:t>
      </w:r>
      <w:r>
        <w:rPr>
          <w:rStyle w:val="9"/>
          <w:rFonts w:hint="eastAsia" w:eastAsia="仿宋_GB2312"/>
          <w:sz w:val="32"/>
          <w:szCs w:val="32"/>
        </w:rPr>
        <w:t xml:space="preserve">  </w:t>
      </w:r>
      <w:r>
        <w:rPr>
          <w:rFonts w:hint="eastAsia" w:eastAsia="仿宋_GB2312"/>
          <w:sz w:val="32"/>
          <w:szCs w:val="32"/>
        </w:rPr>
        <w:t>实施“高企提升”计划。对通过认定的高新技术企业进行分类培育，实现高新技术企业高质量发展。</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仿宋"/>
          <w:sz w:val="32"/>
          <w:szCs w:val="32"/>
        </w:rPr>
      </w:pPr>
      <w:r>
        <w:rPr>
          <w:rFonts w:hint="eastAsia" w:eastAsia="楷体_GB2312"/>
          <w:bCs/>
          <w:sz w:val="32"/>
          <w:szCs w:val="32"/>
        </w:rPr>
        <w:t>（一）建立独角兽企业、瞪羚企业（科技小巨人企业）、科技“雏鹰”企业培育库。选</w:t>
      </w:r>
      <w:r>
        <w:rPr>
          <w:rFonts w:hint="eastAsia" w:ascii="仿宋" w:hAnsi="仿宋" w:eastAsia="仿宋" w:cs="仿宋"/>
          <w:sz w:val="32"/>
          <w:szCs w:val="32"/>
        </w:rPr>
        <w:t>择一批成长迅速、市场前景好的高新技术企业作为入库企业进行精准服务，以培育</w:t>
      </w:r>
      <w:r>
        <w:rPr>
          <w:rFonts w:hint="eastAsia" w:ascii="仿宋" w:hAnsi="仿宋" w:eastAsia="仿宋" w:cs="仿宋"/>
          <w:kern w:val="2"/>
          <w:sz w:val="32"/>
          <w:szCs w:val="32"/>
        </w:rPr>
        <w:t>独角兽企业、</w:t>
      </w:r>
      <w:r>
        <w:rPr>
          <w:rFonts w:hint="eastAsia" w:eastAsia="楷体_GB2312"/>
          <w:bCs/>
          <w:sz w:val="32"/>
          <w:szCs w:val="32"/>
        </w:rPr>
        <w:t>瞪羚企业</w:t>
      </w:r>
      <w:r>
        <w:rPr>
          <w:rFonts w:hint="eastAsia" w:ascii="仿宋" w:hAnsi="仿宋" w:eastAsia="仿宋" w:cs="仿宋"/>
          <w:sz w:val="32"/>
          <w:szCs w:val="32"/>
        </w:rPr>
        <w:t>（科技小巨人企业）为目标，在研发平台建设、新产品开发、科技金融等方面对其重点支持，推动其又快又好发展。企业首次获得省级瞪羚企业资格的，除</w:t>
      </w:r>
      <w:r>
        <w:rPr>
          <w:rFonts w:hint="eastAsia" w:ascii="仿宋" w:hAnsi="仿宋" w:eastAsia="仿宋" w:cs="仿宋"/>
          <w:sz w:val="32"/>
          <w:szCs w:val="32"/>
          <w:lang w:eastAsia="zh-CN"/>
        </w:rPr>
        <w:t>上级</w:t>
      </w:r>
      <w:r>
        <w:rPr>
          <w:rFonts w:hint="eastAsia" w:ascii="仿宋" w:hAnsi="仿宋" w:eastAsia="仿宋" w:cs="仿宋"/>
          <w:sz w:val="32"/>
          <w:szCs w:val="32"/>
        </w:rPr>
        <w:t>奖励</w:t>
      </w:r>
      <w:r>
        <w:rPr>
          <w:rFonts w:hint="eastAsia" w:ascii="仿宋" w:hAnsi="仿宋" w:eastAsia="仿宋" w:cs="仿宋"/>
          <w:sz w:val="32"/>
          <w:szCs w:val="32"/>
          <w:lang w:eastAsia="zh-CN"/>
        </w:rPr>
        <w:t>外，</w:t>
      </w:r>
      <w:r>
        <w:rPr>
          <w:rFonts w:hint="eastAsia" w:ascii="仿宋" w:hAnsi="仿宋" w:eastAsia="仿宋" w:cs="仿宋"/>
          <w:sz w:val="32"/>
          <w:szCs w:val="32"/>
        </w:rPr>
        <w:t>区财政一次性给予</w:t>
      </w:r>
      <w:r>
        <w:rPr>
          <w:rFonts w:hint="eastAsia" w:ascii="仿宋" w:hAnsi="仿宋" w:eastAsia="仿宋" w:cs="仿宋"/>
          <w:sz w:val="32"/>
          <w:szCs w:val="32"/>
          <w:lang w:val="en-US" w:eastAsia="zh-CN"/>
        </w:rPr>
        <w:t>20</w:t>
      </w:r>
      <w:r>
        <w:rPr>
          <w:rFonts w:hint="eastAsia" w:ascii="仿宋" w:hAnsi="仿宋" w:eastAsia="仿宋" w:cs="仿宋"/>
          <w:sz w:val="32"/>
          <w:szCs w:val="32"/>
        </w:rPr>
        <w:t>万元配套奖励。</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仿宋"/>
          <w:sz w:val="32"/>
          <w:szCs w:val="32"/>
        </w:rPr>
      </w:pPr>
      <w:r>
        <w:rPr>
          <w:rFonts w:hint="eastAsia" w:eastAsia="楷体_GB2312"/>
          <w:bCs/>
          <w:sz w:val="32"/>
          <w:szCs w:val="32"/>
        </w:rPr>
        <w:t>（二）建立创新龙头企业培育库。</w:t>
      </w:r>
      <w:r>
        <w:rPr>
          <w:rFonts w:hint="eastAsia" w:ascii="仿宋" w:hAnsi="仿宋" w:eastAsia="仿宋" w:cs="仿宋"/>
          <w:sz w:val="32"/>
          <w:szCs w:val="32"/>
        </w:rPr>
        <w:t>选择一批对产业发展具有龙头带动作用、创新发展能力强的高新技术企业作为入库企业，以培育创新龙头企业为目标，支持其在重大产业关键技术研发、产业创新联盟构建、高层次创新平台建设、人才技术集聚等方面率先实现突破，进一步增强企业自主创新能力和核心竞争力，引领带动全区企业创新转型发展。对首次通过河南省创新龙头企业认定的企业，除</w:t>
      </w:r>
      <w:r>
        <w:rPr>
          <w:rFonts w:hint="eastAsia" w:ascii="仿宋" w:hAnsi="仿宋" w:eastAsia="仿宋" w:cs="仿宋"/>
          <w:sz w:val="32"/>
          <w:szCs w:val="32"/>
          <w:lang w:eastAsia="zh-CN"/>
        </w:rPr>
        <w:t>上级</w:t>
      </w:r>
      <w:r>
        <w:rPr>
          <w:rFonts w:hint="eastAsia" w:ascii="仿宋" w:hAnsi="仿宋" w:eastAsia="仿宋" w:cs="仿宋"/>
          <w:sz w:val="32"/>
          <w:szCs w:val="32"/>
        </w:rPr>
        <w:t>奖励外，区财政给予</w:t>
      </w:r>
      <w:r>
        <w:rPr>
          <w:rFonts w:hint="eastAsia" w:ascii="仿宋" w:hAnsi="仿宋" w:eastAsia="仿宋" w:cs="仿宋"/>
          <w:sz w:val="32"/>
          <w:szCs w:val="32"/>
          <w:lang w:val="en-US" w:eastAsia="zh-CN"/>
        </w:rPr>
        <w:t>5</w:t>
      </w:r>
      <w:r>
        <w:rPr>
          <w:rFonts w:hint="eastAsia" w:ascii="仿宋" w:hAnsi="仿宋" w:eastAsia="仿宋" w:cs="仿宋"/>
          <w:sz w:val="32"/>
          <w:szCs w:val="32"/>
        </w:rPr>
        <w:t>0万元配套奖励。</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cs="仿宋"/>
          <w:sz w:val="32"/>
          <w:szCs w:val="32"/>
        </w:rPr>
      </w:pPr>
      <w:r>
        <w:rPr>
          <w:rFonts w:hint="eastAsia" w:eastAsia="黑体"/>
          <w:color w:val="000000"/>
          <w:sz w:val="32"/>
          <w:szCs w:val="32"/>
        </w:rPr>
        <w:t>第十条</w:t>
      </w:r>
      <w:r>
        <w:rPr>
          <w:rFonts w:hint="eastAsia" w:eastAsia="仿宋_GB2312"/>
          <w:sz w:val="32"/>
          <w:szCs w:val="32"/>
        </w:rPr>
        <w:t xml:space="preserve">  </w:t>
      </w:r>
      <w:r>
        <w:rPr>
          <w:rFonts w:hint="eastAsia" w:ascii="仿宋" w:hAnsi="仿宋" w:eastAsia="仿宋" w:cs="仿宋"/>
          <w:sz w:val="32"/>
          <w:szCs w:val="32"/>
        </w:rPr>
        <w:t>实施“载体提质”计划。鼓励创新创业载体对标市级、省级、国家级规范，强化内部管理，完善创新创业服务体系，提升服务能力和水平。建立孵化载体考评体系，完善孵化载体考评机制，强化孵化成效、载体产出等考核导向，逐步实现孵化载体从重“数量”向重“数量与质量”并重转变，促进创新载体培育。</w:t>
      </w:r>
    </w:p>
    <w:p>
      <w:pPr>
        <w:keepNext w:val="0"/>
        <w:keepLines w:val="0"/>
        <w:pageBreakBefore w:val="0"/>
        <w:widowControl/>
        <w:kinsoku/>
        <w:wordWrap/>
        <w:overflowPunct/>
        <w:topLinePunct w:val="0"/>
        <w:bidi w:val="0"/>
        <w:adjustRightInd w:val="0"/>
        <w:snapToGrid w:val="0"/>
        <w:spacing w:after="0" w:line="560" w:lineRule="exact"/>
        <w:ind w:firstLine="640" w:firstLineChars="200"/>
        <w:textAlignment w:val="auto"/>
        <w:rPr>
          <w:rFonts w:ascii="仿宋" w:hAnsi="仿宋" w:eastAsia="仿宋" w:cs="仿宋"/>
          <w:sz w:val="32"/>
          <w:szCs w:val="32"/>
        </w:rPr>
      </w:pPr>
      <w:r>
        <w:rPr>
          <w:rFonts w:hint="eastAsia" w:eastAsia="楷体_GB2312"/>
          <w:bCs/>
          <w:sz w:val="32"/>
          <w:szCs w:val="32"/>
        </w:rPr>
        <w:t>（一）支持创新创业载体对标提质。</w:t>
      </w:r>
      <w:r>
        <w:rPr>
          <w:rFonts w:hint="eastAsia" w:ascii="仿宋" w:hAnsi="仿宋" w:eastAsia="仿宋" w:cs="仿宋"/>
          <w:sz w:val="32"/>
          <w:szCs w:val="32"/>
        </w:rPr>
        <w:t>鼓励辖区现有企业以及社会资本开展科技企业孵化器、专业化众创空间、众创空间（星创天地）等创新创业载体建设。自2020年起，对经市级初次认定的科技企业孵化器、专业化众创空间、众创空间（星创天地）等创新创业载体，区财政分别给予10万元、5万元、3万元配套奖励：对经市级备案，首次通过省级认定（备案）的科技企业孵化器（新型研发机构）、专业化众创空间、众创空间（星创天地）等创新创业载体，除</w:t>
      </w:r>
      <w:r>
        <w:rPr>
          <w:rFonts w:hint="eastAsia" w:ascii="仿宋" w:hAnsi="仿宋" w:eastAsia="仿宋" w:cs="仿宋"/>
          <w:sz w:val="32"/>
          <w:szCs w:val="32"/>
          <w:lang w:eastAsia="zh-CN"/>
        </w:rPr>
        <w:t>上级</w:t>
      </w:r>
      <w:r>
        <w:rPr>
          <w:rFonts w:hint="eastAsia" w:ascii="仿宋" w:hAnsi="仿宋" w:eastAsia="仿宋" w:cs="仿宋"/>
          <w:sz w:val="32"/>
          <w:szCs w:val="32"/>
        </w:rPr>
        <w:t>奖励外，区财政另外分别给予20万元、10万元、5万元配套奖励；首次通过国家级认定（备案）的科技企业孵化器（新型研发机构）、专业化众创空间、众创空间（星创天地）等创新创业载体，除</w:t>
      </w:r>
      <w:r>
        <w:rPr>
          <w:rFonts w:hint="eastAsia" w:ascii="仿宋" w:hAnsi="仿宋" w:eastAsia="仿宋" w:cs="仿宋"/>
          <w:sz w:val="32"/>
          <w:szCs w:val="32"/>
          <w:lang w:eastAsia="zh-CN"/>
        </w:rPr>
        <w:t>上级</w:t>
      </w:r>
      <w:r>
        <w:rPr>
          <w:rFonts w:hint="eastAsia" w:ascii="仿宋" w:hAnsi="仿宋" w:eastAsia="仿宋" w:cs="仿宋"/>
          <w:sz w:val="32"/>
          <w:szCs w:val="32"/>
        </w:rPr>
        <w:t>奖励外，区财政另外分别给予30万元、20万元、10万元配套奖励。</w:t>
      </w:r>
    </w:p>
    <w:p>
      <w:pPr>
        <w:keepNext w:val="0"/>
        <w:keepLines w:val="0"/>
        <w:pageBreakBefore w:val="0"/>
        <w:widowControl/>
        <w:kinsoku/>
        <w:wordWrap/>
        <w:overflowPunct/>
        <w:topLinePunct w:val="0"/>
        <w:bidi w:val="0"/>
        <w:adjustRightInd w:val="0"/>
        <w:snapToGrid w:val="0"/>
        <w:spacing w:after="0" w:line="560" w:lineRule="exact"/>
        <w:ind w:firstLine="640" w:firstLineChars="200"/>
        <w:textAlignment w:val="auto"/>
        <w:rPr>
          <w:rFonts w:ascii="仿宋" w:hAnsi="仿宋" w:eastAsia="仿宋" w:cs="仿宋"/>
          <w:sz w:val="32"/>
          <w:szCs w:val="32"/>
        </w:rPr>
      </w:pPr>
      <w:r>
        <w:rPr>
          <w:rFonts w:hint="eastAsia" w:eastAsia="楷体_GB2312"/>
          <w:bCs/>
          <w:sz w:val="32"/>
          <w:szCs w:val="32"/>
        </w:rPr>
        <w:t>（二）支持创新创业载体提升服务能力。</w:t>
      </w:r>
      <w:r>
        <w:rPr>
          <w:rFonts w:hint="eastAsia" w:ascii="仿宋" w:hAnsi="仿宋" w:eastAsia="仿宋" w:cs="仿宋"/>
          <w:sz w:val="32"/>
          <w:szCs w:val="32"/>
        </w:rPr>
        <w:t>建立完善创新创业载体孵化成效评估奖励体系，对市级及以上创新创业载体进行年度公共服务能力和孵化绩效考核。根据市级考核结果, 区财政分别给予优秀众创空间（星创天地）、优秀专业化众创空间（中试基地）、优秀科技企业孵化器 （新型研发机构） 3万元、5万元、10万元奖励。优秀创新创业载体在做出承诺并将《“玉洛汇”计划实施细则》向市级科技主管部门报备的情况下，可直接推荐市科技局遴选为洛阳市“玉洛汇”计划合作单位。</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640" w:firstLineChars="200"/>
        <w:textAlignment w:val="auto"/>
        <w:rPr>
          <w:rFonts w:ascii="仿宋" w:hAnsi="仿宋" w:eastAsia="仿宋" w:cs="仿宋"/>
          <w:sz w:val="32"/>
          <w:szCs w:val="32"/>
        </w:rPr>
      </w:pPr>
      <w:r>
        <w:rPr>
          <w:rFonts w:hint="eastAsia" w:eastAsia="楷体_GB2312"/>
          <w:bCs/>
          <w:sz w:val="32"/>
          <w:szCs w:val="32"/>
        </w:rPr>
        <w:t>（三）支持打造高端创新创业大赛品牌。</w:t>
      </w:r>
      <w:r>
        <w:rPr>
          <w:rFonts w:hint="eastAsia" w:ascii="仿宋" w:hAnsi="仿宋" w:eastAsia="仿宋" w:cs="仿宋"/>
          <w:sz w:val="32"/>
          <w:szCs w:val="32"/>
        </w:rPr>
        <w:t>鼓励辖区各</w:t>
      </w:r>
      <w:r>
        <w:rPr>
          <w:rFonts w:hint="eastAsia" w:ascii="仿宋" w:hAnsi="仿宋" w:eastAsia="仿宋"/>
          <w:bCs/>
          <w:sz w:val="32"/>
          <w:szCs w:val="32"/>
        </w:rPr>
        <w:t>创新创业载体及</w:t>
      </w:r>
      <w:r>
        <w:rPr>
          <w:rFonts w:hint="eastAsia" w:ascii="仿宋" w:hAnsi="仿宋" w:eastAsia="仿宋" w:cs="仿宋"/>
          <w:sz w:val="32"/>
          <w:szCs w:val="32"/>
        </w:rPr>
        <w:t>企事业单位与北京大学、清华大学、</w:t>
      </w:r>
      <w:r>
        <w:rPr>
          <w:rFonts w:hint="eastAsia" w:ascii="仿宋" w:hAnsi="仿宋" w:eastAsia="仿宋"/>
          <w:bCs/>
          <w:sz w:val="32"/>
          <w:szCs w:val="32"/>
        </w:rPr>
        <w:t>中国科学院等国内外知名院所及所属</w:t>
      </w:r>
      <w:r>
        <w:rPr>
          <w:rFonts w:hint="eastAsia" w:eastAsia="楷体_GB2312"/>
          <w:bCs/>
          <w:sz w:val="32"/>
          <w:szCs w:val="32"/>
        </w:rPr>
        <w:t>机构联办创新创业大赛</w:t>
      </w:r>
      <w:r>
        <w:rPr>
          <w:rFonts w:hint="eastAsia" w:ascii="仿宋" w:hAnsi="仿宋" w:eastAsia="仿宋" w:cs="仿宋"/>
          <w:sz w:val="32"/>
          <w:szCs w:val="32"/>
        </w:rPr>
        <w:t>，积极争取主办（承办）创新创业大赛，加强校地合作与产学研结合，链接优质创新创业资源。创新创业大赛方案经区政府同意并上报市政府批准实施的，区财政按照大赛资金实际支出的20%予以支持（以具有资质的审计机构出具的审计报告为准），最高不超过50万元。对通过我区主办（承办）或国家部委、省直厅局及市政府举办的创新创业大赛获奖项目落户我区的，注册成立公司满一年、财务制度健全、运营状况良好的区财政按规模给予2—10万元支持（参照高企首次认定标准奖补）。</w:t>
      </w:r>
    </w:p>
    <w:p>
      <w:pPr>
        <w:pStyle w:val="3"/>
        <w:keepNext w:val="0"/>
        <w:keepLines w:val="0"/>
        <w:pageBreakBefore w:val="0"/>
        <w:kinsoku/>
        <w:wordWrap/>
        <w:overflowPunct/>
        <w:topLinePunct w:val="0"/>
        <w:bidi w:val="0"/>
        <w:spacing w:after="0" w:line="560" w:lineRule="exact"/>
        <w:ind w:firstLine="643" w:firstLineChars="200"/>
        <w:textAlignment w:val="auto"/>
        <w:rPr>
          <w:rFonts w:hint="eastAsia" w:ascii="仿宋" w:hAnsi="仿宋" w:eastAsia="仿宋" w:cs="仿宋"/>
          <w:color w:val="333333"/>
          <w:sz w:val="32"/>
          <w:szCs w:val="32"/>
        </w:rPr>
      </w:pPr>
      <w:r>
        <w:rPr>
          <w:rFonts w:hint="eastAsia" w:ascii="黑体" w:hAnsi="黑体" w:eastAsia="黑体"/>
          <w:b/>
          <w:color w:val="333333"/>
          <w:sz w:val="32"/>
          <w:szCs w:val="32"/>
        </w:rPr>
        <w:t xml:space="preserve">第十一条  </w:t>
      </w:r>
      <w:r>
        <w:rPr>
          <w:rFonts w:hint="eastAsia" w:ascii="仿宋" w:hAnsi="仿宋" w:eastAsia="仿宋" w:cs="仿宋"/>
          <w:color w:val="333333"/>
          <w:sz w:val="32"/>
          <w:szCs w:val="32"/>
        </w:rPr>
        <w:t>支持科技与文化融合发展，为打造国际人文交往中心核心区提供科技支撑。</w:t>
      </w:r>
    </w:p>
    <w:p>
      <w:pPr>
        <w:pStyle w:val="3"/>
        <w:keepNext w:val="0"/>
        <w:keepLines w:val="0"/>
        <w:pageBreakBefore w:val="0"/>
        <w:numPr>
          <w:ilvl w:val="0"/>
          <w:numId w:val="1"/>
        </w:numPr>
        <w:kinsoku/>
        <w:wordWrap/>
        <w:overflowPunct/>
        <w:topLinePunct w:val="0"/>
        <w:bidi w:val="0"/>
        <w:spacing w:after="0"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充分发挥我区文化资源优势，鼓励辖区企业加强文化创作、生产、传播和消费等环节共性关键技术研究，开展文化资源分类与标识、数字化采集与管理、多媒体内容知识化加工处理、VR/AR虚拟制作、基于数据智能的自适配生产、智能创作等文化生产技术研发；开展文化产品多渠道发布、多网络分发、多终端呈现等文化传播技术研发；开展文化产品价值评估与版权交易、基于大数据的个性化推荐、文化产品与服务质量评测等文化服务技术研发；</w:t>
      </w:r>
      <w:r>
        <w:rPr>
          <w:rFonts w:hint="eastAsia" w:ascii="仿宋" w:hAnsi="仿宋" w:eastAsia="仿宋" w:cs="仿宋"/>
          <w:sz w:val="32"/>
          <w:szCs w:val="32"/>
          <w:lang w:eastAsia="zh-CN"/>
        </w:rPr>
        <w:t>加强舞台演艺和观演互动、影视制作和演播等高端软件产品和装备自主研发及产业化</w:t>
      </w:r>
      <w:r>
        <w:rPr>
          <w:rFonts w:hint="eastAsia" w:ascii="仿宋" w:hAnsi="仿宋" w:eastAsia="仿宋" w:cs="仿宋"/>
          <w:sz w:val="32"/>
          <w:szCs w:val="32"/>
        </w:rPr>
        <w:t>。该类项目优先列入区科技项目计划并给与2—10万元的经费支持，具体数额经专家评审、区政府常务会议通过后确定。</w:t>
      </w:r>
    </w:p>
    <w:p>
      <w:pPr>
        <w:pStyle w:val="3"/>
        <w:keepNext w:val="0"/>
        <w:keepLines w:val="0"/>
        <w:pageBreakBefore w:val="0"/>
        <w:numPr>
          <w:ilvl w:val="0"/>
          <w:numId w:val="0"/>
        </w:numPr>
        <w:kinsoku/>
        <w:wordWrap/>
        <w:overflowPunct/>
        <w:topLinePunct w:val="0"/>
        <w:bidi w:val="0"/>
        <w:spacing w:after="0"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支持辖区文化、旅游企业以数字化、网络化、智能化为技术基点，打造智慧景区、智慧工厂，重点突破广播影视、文化艺术、创意设计、文物保护利用、非物质文化遗产传承发展、文化旅游等领域系统集成应用技术，开发内容可视化呈现、互动化传播、沉浸化体验技术应用系统平台与产品，优化文化数据提取、存储、利用技术，发展适用于文化遗产保护和传承的数字化技术和新材料、新工艺。对获得智慧景区、智慧工厂认定的，给予</w:t>
      </w:r>
      <w:r>
        <w:rPr>
          <w:rFonts w:hint="eastAsia" w:ascii="仿宋" w:hAnsi="仿宋" w:eastAsia="仿宋" w:cs="仿宋"/>
          <w:sz w:val="32"/>
          <w:szCs w:val="32"/>
          <w:lang w:val="en-US" w:eastAsia="zh-CN"/>
        </w:rPr>
        <w:t>5</w:t>
      </w:r>
      <w:r>
        <w:rPr>
          <w:rFonts w:hint="eastAsia" w:ascii="仿宋" w:hAnsi="仿宋" w:eastAsia="仿宋" w:cs="仿宋"/>
          <w:sz w:val="32"/>
          <w:szCs w:val="32"/>
        </w:rPr>
        <w:t>万元奖励</w:t>
      </w:r>
      <w:r>
        <w:rPr>
          <w:rFonts w:hint="eastAsia" w:ascii="仿宋" w:hAnsi="仿宋" w:eastAsia="仿宋" w:cs="仿宋"/>
          <w:sz w:val="32"/>
          <w:szCs w:val="32"/>
          <w:lang w:eastAsia="zh-CN"/>
        </w:rPr>
        <w:t>（以相关文件为准）</w:t>
      </w:r>
      <w:r>
        <w:rPr>
          <w:rFonts w:hint="eastAsia" w:ascii="仿宋" w:hAnsi="仿宋" w:eastAsia="仿宋" w:cs="仿宋"/>
          <w:sz w:val="32"/>
          <w:szCs w:val="32"/>
        </w:rPr>
        <w:t>。</w:t>
      </w:r>
    </w:p>
    <w:p>
      <w:pPr>
        <w:pStyle w:val="3"/>
        <w:keepNext w:val="0"/>
        <w:keepLines w:val="0"/>
        <w:pageBreakBefore w:val="0"/>
        <w:kinsoku/>
        <w:wordWrap/>
        <w:overflowPunct/>
        <w:topLinePunct w:val="0"/>
        <w:bidi w:val="0"/>
        <w:spacing w:after="0" w:line="56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sz w:val="32"/>
          <w:szCs w:val="32"/>
        </w:rPr>
        <w:t>（三）</w:t>
      </w:r>
      <w:r>
        <w:rPr>
          <w:rFonts w:hint="eastAsia" w:ascii="仿宋" w:hAnsi="仿宋" w:eastAsia="仿宋" w:cs="仿宋"/>
          <w:kern w:val="0"/>
          <w:sz w:val="32"/>
          <w:szCs w:val="32"/>
          <w:lang w:val="en-US" w:eastAsia="zh-CN" w:bidi="ar-SA"/>
        </w:rPr>
        <w:t>按照国家科技创新基地优化整合总体部署，建成若干目标明确、重点突出、协同攻关的文化科技领域国家科技创新基地，建成特色鲜明、示范性强、管理规范、配套完善的国家文化和科技融合示范基地，拥有知名品牌、引领行业发展、竞争力强的文化和科技融合领军企业，使文化和科技融合成为文化高质量发展的重要引擎。对申报国家文化科技融合示范基地的主体单位给予经费支持，获批后奖励50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cs="Times New Roman"/>
          <w:sz w:val="32"/>
          <w:szCs w:val="32"/>
          <w:u w:val="dash"/>
        </w:rPr>
      </w:pPr>
      <w:r>
        <w:rPr>
          <w:rFonts w:hint="eastAsia" w:eastAsia="黑体"/>
          <w:color w:val="000000"/>
          <w:sz w:val="32"/>
          <w:szCs w:val="32"/>
        </w:rPr>
        <w:t>第十二条</w:t>
      </w:r>
      <w:r>
        <w:rPr>
          <w:rStyle w:val="9"/>
          <w:rFonts w:hint="eastAsia" w:eastAsia="仿宋_GB2312"/>
          <w:sz w:val="32"/>
          <w:szCs w:val="32"/>
        </w:rPr>
        <w:t xml:space="preserve">  </w:t>
      </w:r>
      <w:r>
        <w:rPr>
          <w:rFonts w:hint="eastAsia" w:ascii="仿宋" w:hAnsi="仿宋" w:eastAsia="仿宋" w:cs="仿宋"/>
          <w:sz w:val="32"/>
          <w:szCs w:val="32"/>
        </w:rPr>
        <w:t>本办法支持的项目单位应注册地在老城、财务制度健全、信用状况良好，未被计入“信用中国（河南）”黑名单。</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eastAsia="仿宋_GB2312"/>
          <w:sz w:val="32"/>
          <w:szCs w:val="32"/>
          <w:u w:val="dash"/>
        </w:rPr>
      </w:pPr>
      <w:r>
        <w:rPr>
          <w:rFonts w:hint="eastAsia" w:eastAsia="黑体"/>
          <w:color w:val="000000"/>
          <w:sz w:val="32"/>
          <w:szCs w:val="32"/>
        </w:rPr>
        <w:t>第十三条</w:t>
      </w:r>
      <w:r>
        <w:rPr>
          <w:rStyle w:val="9"/>
          <w:rFonts w:hint="eastAsia" w:eastAsia="仿宋_GB2312"/>
          <w:sz w:val="32"/>
          <w:szCs w:val="32"/>
        </w:rPr>
        <w:t xml:space="preserve">  </w:t>
      </w:r>
      <w:r>
        <w:rPr>
          <w:rFonts w:hint="eastAsia" w:ascii="仿宋" w:hAnsi="仿宋" w:eastAsia="仿宋" w:cs="仿宋"/>
          <w:sz w:val="32"/>
          <w:szCs w:val="32"/>
        </w:rPr>
        <w:t>本办法支持的奖励资金从老城区应用技术研究与开发资金中列支。如出现年度兑现资金不足的情况，不足部分优先列入下一年度预算。奖励资金由承担单位统筹使用，财政部门不再按照科研计划项目模式进行管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eastAsia="宋体"/>
          <w:sz w:val="21"/>
          <w:szCs w:val="20"/>
        </w:rPr>
      </w:pPr>
      <w:r>
        <w:rPr>
          <w:rFonts w:hint="eastAsia" w:eastAsia="黑体"/>
          <w:color w:val="000000"/>
          <w:sz w:val="32"/>
          <w:szCs w:val="32"/>
        </w:rPr>
        <w:t>第十四条</w:t>
      </w:r>
      <w:r>
        <w:rPr>
          <w:rFonts w:hint="eastAsia" w:eastAsia="仿宋_GB2312"/>
          <w:sz w:val="32"/>
          <w:szCs w:val="32"/>
        </w:rPr>
        <w:t xml:space="preserve">  </w:t>
      </w:r>
      <w:r>
        <w:rPr>
          <w:rFonts w:hint="eastAsia" w:ascii="仿宋" w:hAnsi="仿宋" w:eastAsia="仿宋" w:cs="仿宋"/>
          <w:sz w:val="32"/>
          <w:szCs w:val="32"/>
        </w:rPr>
        <w:t>本办法自发布之日起实行，有效期5年，由区科技局、区财政局及相关部门组织实施。</w:t>
      </w:r>
      <w:r>
        <w:rPr>
          <w:rFonts w:eastAsia="仿宋_GB2312"/>
          <w:sz w:val="32"/>
          <w:szCs w:val="32"/>
          <w:u w:val="single"/>
        </w:rPr>
        <w:t xml:space="preserve"> </w:t>
      </w:r>
    </w:p>
    <w:sectPr>
      <w:footerReference r:id="rId3" w:type="default"/>
      <w:pgSz w:w="11906" w:h="16838"/>
      <w:pgMar w:top="2098" w:right="1474" w:bottom="1984" w:left="1587" w:header="850" w:footer="1587" w:gutter="0"/>
      <w:paperSrc/>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ind w:left="227" w:leftChars="100" w:right="374" w:rightChars="170" w:hanging="7" w:firstLineChars="0"/>
                            <w:rPr>
                              <w:rFonts w:hint="eastAsia" w:ascii="仿宋" w:hAnsi="仿宋" w:eastAsia="仿宋" w:cs="仿宋"/>
                              <w:sz w:val="28"/>
                              <w:szCs w:val="40"/>
                              <w:lang w:eastAsia="zh-CN"/>
                            </w:rPr>
                          </w:pPr>
                          <w:r>
                            <w:rPr>
                              <w:rFonts w:hint="eastAsia" w:ascii="仿宋" w:hAnsi="仿宋" w:eastAsia="仿宋" w:cs="仿宋"/>
                              <w:sz w:val="28"/>
                              <w:szCs w:val="40"/>
                              <w:lang w:eastAsia="zh-CN"/>
                            </w:rPr>
                            <w:t>—</w:t>
                          </w:r>
                          <w:r>
                            <w:rPr>
                              <w:rFonts w:hint="eastAsia" w:ascii="仿宋" w:hAnsi="仿宋" w:eastAsia="仿宋" w:cs="仿宋"/>
                              <w:sz w:val="28"/>
                              <w:szCs w:val="40"/>
                              <w:lang w:val="en-US" w:eastAsia="zh-CN"/>
                            </w:rPr>
                            <w:t xml:space="preserve"> </w:t>
                          </w:r>
                          <w:r>
                            <w:rPr>
                              <w:rFonts w:hint="eastAsia" w:ascii="仿宋" w:hAnsi="仿宋" w:eastAsia="仿宋" w:cs="仿宋"/>
                              <w:sz w:val="28"/>
                              <w:szCs w:val="40"/>
                              <w:lang w:eastAsia="zh-CN"/>
                            </w:rPr>
                            <w:fldChar w:fldCharType="begin"/>
                          </w:r>
                          <w:r>
                            <w:rPr>
                              <w:rFonts w:hint="eastAsia" w:ascii="仿宋" w:hAnsi="仿宋" w:eastAsia="仿宋" w:cs="仿宋"/>
                              <w:sz w:val="28"/>
                              <w:szCs w:val="40"/>
                              <w:lang w:eastAsia="zh-CN"/>
                            </w:rPr>
                            <w:instrText xml:space="preserve"> PAGE  \* MERGEFORMAT </w:instrText>
                          </w:r>
                          <w:r>
                            <w:rPr>
                              <w:rFonts w:hint="eastAsia" w:ascii="仿宋" w:hAnsi="仿宋" w:eastAsia="仿宋" w:cs="仿宋"/>
                              <w:sz w:val="28"/>
                              <w:szCs w:val="40"/>
                              <w:lang w:eastAsia="zh-CN"/>
                            </w:rPr>
                            <w:fldChar w:fldCharType="separate"/>
                          </w:r>
                          <w:r>
                            <w:rPr>
                              <w:rFonts w:hint="eastAsia" w:ascii="仿宋" w:hAnsi="仿宋" w:eastAsia="仿宋" w:cs="仿宋"/>
                              <w:sz w:val="28"/>
                              <w:szCs w:val="40"/>
                              <w:lang w:eastAsia="zh-CN"/>
                            </w:rPr>
                            <w:t>1</w:t>
                          </w:r>
                          <w:r>
                            <w:rPr>
                              <w:rFonts w:hint="eastAsia" w:ascii="仿宋" w:hAnsi="仿宋" w:eastAsia="仿宋" w:cs="仿宋"/>
                              <w:sz w:val="28"/>
                              <w:szCs w:val="40"/>
                              <w:lang w:eastAsia="zh-CN"/>
                            </w:rPr>
                            <w:fldChar w:fldCharType="end"/>
                          </w:r>
                          <w:r>
                            <w:rPr>
                              <w:rFonts w:hint="eastAsia" w:ascii="仿宋" w:hAnsi="仿宋" w:eastAsia="仿宋" w:cs="仿宋"/>
                              <w:sz w:val="28"/>
                              <w:szCs w:val="40"/>
                              <w:lang w:val="en-US" w:eastAsia="zh-CN"/>
                            </w:rPr>
                            <w:t xml:space="preserve"> </w:t>
                          </w:r>
                          <w:r>
                            <w:rPr>
                              <w:rFonts w:hint="eastAsia" w:ascii="仿宋" w:hAnsi="仿宋" w:eastAsia="仿宋" w:cs="仿宋"/>
                              <w:sz w:val="28"/>
                              <w:szCs w:val="40"/>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ind w:left="227" w:leftChars="100" w:right="374" w:rightChars="170" w:hanging="7" w:firstLineChars="0"/>
                      <w:rPr>
                        <w:rFonts w:hint="eastAsia" w:ascii="仿宋" w:hAnsi="仿宋" w:eastAsia="仿宋" w:cs="仿宋"/>
                        <w:sz w:val="28"/>
                        <w:szCs w:val="40"/>
                        <w:lang w:eastAsia="zh-CN"/>
                      </w:rPr>
                    </w:pPr>
                    <w:r>
                      <w:rPr>
                        <w:rFonts w:hint="eastAsia" w:ascii="仿宋" w:hAnsi="仿宋" w:eastAsia="仿宋" w:cs="仿宋"/>
                        <w:sz w:val="28"/>
                        <w:szCs w:val="40"/>
                        <w:lang w:eastAsia="zh-CN"/>
                      </w:rPr>
                      <w:t>—</w:t>
                    </w:r>
                    <w:r>
                      <w:rPr>
                        <w:rFonts w:hint="eastAsia" w:ascii="仿宋" w:hAnsi="仿宋" w:eastAsia="仿宋" w:cs="仿宋"/>
                        <w:sz w:val="28"/>
                        <w:szCs w:val="40"/>
                        <w:lang w:val="en-US" w:eastAsia="zh-CN"/>
                      </w:rPr>
                      <w:t xml:space="preserve"> </w:t>
                    </w:r>
                    <w:r>
                      <w:rPr>
                        <w:rFonts w:hint="eastAsia" w:ascii="仿宋" w:hAnsi="仿宋" w:eastAsia="仿宋" w:cs="仿宋"/>
                        <w:sz w:val="28"/>
                        <w:szCs w:val="40"/>
                        <w:lang w:eastAsia="zh-CN"/>
                      </w:rPr>
                      <w:fldChar w:fldCharType="begin"/>
                    </w:r>
                    <w:r>
                      <w:rPr>
                        <w:rFonts w:hint="eastAsia" w:ascii="仿宋" w:hAnsi="仿宋" w:eastAsia="仿宋" w:cs="仿宋"/>
                        <w:sz w:val="28"/>
                        <w:szCs w:val="40"/>
                        <w:lang w:eastAsia="zh-CN"/>
                      </w:rPr>
                      <w:instrText xml:space="preserve"> PAGE  \* MERGEFORMAT </w:instrText>
                    </w:r>
                    <w:r>
                      <w:rPr>
                        <w:rFonts w:hint="eastAsia" w:ascii="仿宋" w:hAnsi="仿宋" w:eastAsia="仿宋" w:cs="仿宋"/>
                        <w:sz w:val="28"/>
                        <w:szCs w:val="40"/>
                        <w:lang w:eastAsia="zh-CN"/>
                      </w:rPr>
                      <w:fldChar w:fldCharType="separate"/>
                    </w:r>
                    <w:r>
                      <w:rPr>
                        <w:rFonts w:hint="eastAsia" w:ascii="仿宋" w:hAnsi="仿宋" w:eastAsia="仿宋" w:cs="仿宋"/>
                        <w:sz w:val="28"/>
                        <w:szCs w:val="40"/>
                        <w:lang w:eastAsia="zh-CN"/>
                      </w:rPr>
                      <w:t>1</w:t>
                    </w:r>
                    <w:r>
                      <w:rPr>
                        <w:rFonts w:hint="eastAsia" w:ascii="仿宋" w:hAnsi="仿宋" w:eastAsia="仿宋" w:cs="仿宋"/>
                        <w:sz w:val="28"/>
                        <w:szCs w:val="40"/>
                        <w:lang w:eastAsia="zh-CN"/>
                      </w:rPr>
                      <w:fldChar w:fldCharType="end"/>
                    </w:r>
                    <w:r>
                      <w:rPr>
                        <w:rFonts w:hint="eastAsia" w:ascii="仿宋" w:hAnsi="仿宋" w:eastAsia="仿宋" w:cs="仿宋"/>
                        <w:sz w:val="28"/>
                        <w:szCs w:val="40"/>
                        <w:lang w:val="en-US" w:eastAsia="zh-CN"/>
                      </w:rPr>
                      <w:t xml:space="preserve"> </w:t>
                    </w:r>
                    <w:r>
                      <w:rPr>
                        <w:rFonts w:hint="eastAsia" w:ascii="仿宋" w:hAnsi="仿宋" w:eastAsia="仿宋" w:cs="仿宋"/>
                        <w:sz w:val="28"/>
                        <w:szCs w:val="40"/>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C93B50"/>
    <w:multiLevelType w:val="singleLevel"/>
    <w:tmpl w:val="ABC93B50"/>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437D36"/>
    <w:rsid w:val="0060628D"/>
    <w:rsid w:val="00624148"/>
    <w:rsid w:val="00725EAA"/>
    <w:rsid w:val="0089210C"/>
    <w:rsid w:val="008B7726"/>
    <w:rsid w:val="00D31D50"/>
    <w:rsid w:val="00EA79BA"/>
    <w:rsid w:val="00F25543"/>
    <w:rsid w:val="00F92A80"/>
    <w:rsid w:val="00FE0C61"/>
    <w:rsid w:val="02F94C36"/>
    <w:rsid w:val="06207EF0"/>
    <w:rsid w:val="064E4D22"/>
    <w:rsid w:val="0F51556E"/>
    <w:rsid w:val="16453C42"/>
    <w:rsid w:val="22270144"/>
    <w:rsid w:val="2A352553"/>
    <w:rsid w:val="316771EE"/>
    <w:rsid w:val="31743A17"/>
    <w:rsid w:val="331B1C96"/>
    <w:rsid w:val="34170407"/>
    <w:rsid w:val="390536A7"/>
    <w:rsid w:val="3B126B5D"/>
    <w:rsid w:val="41041851"/>
    <w:rsid w:val="429B6B26"/>
    <w:rsid w:val="45A3782E"/>
    <w:rsid w:val="52B802C7"/>
    <w:rsid w:val="5A446ABC"/>
    <w:rsid w:val="5EC748FF"/>
    <w:rsid w:val="66526244"/>
    <w:rsid w:val="673503A1"/>
    <w:rsid w:val="6ACC0EB6"/>
    <w:rsid w:val="6DC235DE"/>
    <w:rsid w:val="731C2FB8"/>
    <w:rsid w:val="786133C2"/>
    <w:rsid w:val="7A41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9"/>
    <w:semiHidden/>
    <w:unhideWhenUsed/>
    <w:qFormat/>
    <w:uiPriority w:val="0"/>
    <w:pPr>
      <w:widowControl w:val="0"/>
      <w:shd w:val="clear" w:color="auto" w:fill="FFFFFF"/>
      <w:spacing w:after="0" w:line="446" w:lineRule="exact"/>
      <w:ind w:firstLine="578" w:firstLineChars="200"/>
      <w:jc w:val="both"/>
      <w:outlineLvl w:val="1"/>
    </w:pPr>
    <w:rPr>
      <w:rFonts w:ascii="宋体" w:hAnsi="宋体" w:eastAsia="黑体" w:cs="宋体"/>
      <w:spacing w:val="4"/>
      <w:lang w:val="zh-CN" w:bidi="or-I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widowControl w:val="0"/>
      <w:adjustRightInd/>
      <w:snapToGrid/>
      <w:spacing w:after="120"/>
      <w:jc w:val="both"/>
    </w:pPr>
    <w:rPr>
      <w:rFonts w:ascii="Times New Roman" w:hAnsi="Times New Roman" w:eastAsia="宋体" w:cs="Times New Roman"/>
      <w:kern w:val="2"/>
      <w:sz w:val="21"/>
      <w:szCs w:val="20"/>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adjustRightInd w:val="0"/>
      <w:snapToGrid w:val="0"/>
      <w:spacing w:line="600" w:lineRule="exact"/>
      <w:jc w:val="center"/>
      <w:outlineLvl w:val="0"/>
    </w:pPr>
    <w:rPr>
      <w:rFonts w:ascii="方正小标宋简体" w:eastAsia="方正小标宋简体" w:cstheme="majorBidi"/>
      <w:bCs/>
      <w:sz w:val="40"/>
      <w:szCs w:val="32"/>
    </w:rPr>
  </w:style>
  <w:style w:type="character" w:customStyle="1" w:styleId="9">
    <w:name w:val="标题 2 Char"/>
    <w:basedOn w:val="8"/>
    <w:link w:val="2"/>
    <w:semiHidden/>
    <w:qFormat/>
    <w:uiPriority w:val="0"/>
    <w:rPr>
      <w:rFonts w:ascii="宋体" w:hAnsi="宋体" w:eastAsia="黑体" w:cs="宋体"/>
      <w:spacing w:val="4"/>
      <w:shd w:val="clear" w:color="auto" w:fill="FFFFFF"/>
      <w:lang w:val="zh-CN" w:bidi="or-IN"/>
    </w:rPr>
  </w:style>
  <w:style w:type="character" w:customStyle="1" w:styleId="10">
    <w:name w:val="正文文本 Char"/>
    <w:basedOn w:val="8"/>
    <w:link w:val="3"/>
    <w:semiHidden/>
    <w:qFormat/>
    <w:uiPriority w:val="99"/>
    <w:rPr>
      <w:rFonts w:ascii="Times New Roman" w:hAnsi="Times New Roman" w:eastAsia="宋体" w:cs="Times New Roman"/>
      <w:kern w:val="2"/>
      <w:sz w:val="21"/>
      <w:szCs w:val="20"/>
    </w:rPr>
  </w:style>
  <w:style w:type="paragraph" w:customStyle="1" w:styleId="11">
    <w:name w:val="p0"/>
    <w:basedOn w:val="1"/>
    <w:qFormat/>
    <w:uiPriority w:val="99"/>
    <w:pPr>
      <w:adjustRightInd/>
      <w:snapToGrid/>
      <w:spacing w:after="0"/>
    </w:pPr>
    <w:rPr>
      <w:rFonts w:ascii="宋体" w:hAnsi="宋体" w:eastAsia="宋体" w:cs="宋体"/>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6E311A-95FC-4857-A5CA-EE16C55461EF}">
  <ds:schemaRefs/>
</ds:datastoreItem>
</file>

<file path=docProps/app.xml><?xml version="1.0" encoding="utf-8"?>
<Properties xmlns="http://schemas.openxmlformats.org/officeDocument/2006/extended-properties" xmlns:vt="http://schemas.openxmlformats.org/officeDocument/2006/docPropsVTypes">
  <Template>Normal</Template>
  <Pages>10</Pages>
  <Words>671</Words>
  <Characters>3826</Characters>
  <Lines>31</Lines>
  <Paragraphs>8</Paragraphs>
  <TotalTime>60</TotalTime>
  <ScaleCrop>false</ScaleCrop>
  <LinksUpToDate>false</LinksUpToDate>
  <CharactersWithSpaces>4489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2021-01-11T01:31:00Z</cp:lastPrinted>
  <dcterms:modified xsi:type="dcterms:W3CDTF">2021-01-21T11:04:31Z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