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color w:val="000000"/>
          <w:sz w:val="32"/>
          <w:szCs w:val="32"/>
        </w:rPr>
      </w:pPr>
      <w:r>
        <w:rPr>
          <w:rFonts w:hint="eastAsia" w:ascii="黑体" w:hAnsi="黑体" w:eastAsia="黑体"/>
          <w:color w:val="000000"/>
          <w:sz w:val="32"/>
          <w:szCs w:val="32"/>
        </w:rPr>
        <w:t>附件1</w:t>
      </w:r>
      <w:r>
        <w:rPr>
          <w:rFonts w:hint="eastAsia" w:ascii="仿宋_GB2312" w:hAnsi="仿宋_GB2312" w:eastAsia="仿宋_GB2312" w:cs="仿宋_GB2312"/>
          <w:color w:val="000000"/>
          <w:sz w:val="32"/>
          <w:szCs w:val="32"/>
        </w:rPr>
        <w:t>：</w:t>
      </w: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jc w:val="center"/>
        <w:rPr>
          <w:rFonts w:hint="eastAsia" w:ascii="黑体" w:hAnsi="黑体" w:eastAsia="黑体"/>
          <w:color w:val="000000"/>
          <w:sz w:val="52"/>
          <w:szCs w:val="52"/>
        </w:rPr>
      </w:pPr>
      <w:r>
        <w:rPr>
          <w:rFonts w:hint="eastAsia" w:ascii="黑体" w:hAnsi="黑体" w:eastAsia="黑体"/>
          <w:color w:val="000000"/>
          <w:sz w:val="52"/>
          <w:szCs w:val="52"/>
          <w:lang w:val="en-US" w:eastAsia="zh-CN"/>
        </w:rPr>
        <w:t>中国共产党洛阳市老城区委员会组织部</w:t>
      </w:r>
      <w:r>
        <w:rPr>
          <w:rFonts w:hint="eastAsia" w:ascii="黑体" w:hAnsi="黑体" w:eastAsia="黑体"/>
          <w:color w:val="000000"/>
          <w:sz w:val="52"/>
          <w:szCs w:val="52"/>
        </w:rPr>
        <w:t>2019年度部门预算</w:t>
      </w: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adjustRightInd w:val="0"/>
        <w:snapToGrid w:val="0"/>
        <w:spacing w:line="360" w:lineRule="auto"/>
        <w:jc w:val="center"/>
        <w:rPr>
          <w:rFonts w:hint="eastAsia" w:ascii="方正小标宋简体" w:hAnsi="方正小标宋简体" w:eastAsia="方正小标宋简体" w:cs="方正小标宋简体"/>
          <w:color w:val="000000"/>
          <w:sz w:val="44"/>
          <w:szCs w:val="44"/>
        </w:rPr>
      </w:pPr>
    </w:p>
    <w:p>
      <w:pPr>
        <w:adjustRightInd w:val="0"/>
        <w:snapToGrid w:val="0"/>
        <w:spacing w:line="360" w:lineRule="auto"/>
        <w:jc w:val="center"/>
        <w:rPr>
          <w:rFonts w:hint="eastAsia" w:ascii="黑体" w:hAnsi="方正小标宋简体" w:eastAsia="黑体" w:cs="方正小标宋简体"/>
          <w:color w:val="000000"/>
          <w:sz w:val="44"/>
          <w:szCs w:val="44"/>
        </w:rPr>
      </w:pPr>
      <w:r>
        <w:rPr>
          <w:rFonts w:hint="eastAsia" w:ascii="黑体" w:hAnsi="方正小标宋简体" w:eastAsia="黑体" w:cs="方正小标宋简体"/>
          <w:color w:val="000000"/>
          <w:sz w:val="32"/>
          <w:szCs w:val="32"/>
        </w:rPr>
        <w:t>二○一九年三月</w:t>
      </w:r>
    </w:p>
    <w:p>
      <w:pPr>
        <w:kinsoku w:val="0"/>
        <w:overflowPunct w:val="0"/>
        <w:adjustRightInd w:val="0"/>
        <w:snapToGrid w:val="0"/>
        <w:spacing w:line="360" w:lineRule="auto"/>
        <w:ind w:left="101" w:right="3569" w:firstLine="640" w:firstLineChars="200"/>
        <w:rPr>
          <w:rFonts w:hint="eastAsia" w:ascii="仿宋_GB2312" w:hAnsi="仿宋_GB2312" w:eastAsia="仿宋_GB2312" w:cs="仿宋_GB2312"/>
          <w:color w:val="000000"/>
          <w:sz w:val="32"/>
          <w:szCs w:val="32"/>
        </w:rPr>
      </w:pPr>
    </w:p>
    <w:p>
      <w:pPr>
        <w:kinsoku w:val="0"/>
        <w:overflowPunct w:val="0"/>
        <w:adjustRightInd w:val="0"/>
        <w:snapToGrid w:val="0"/>
        <w:spacing w:line="360" w:lineRule="auto"/>
        <w:ind w:left="101" w:right="3569" w:firstLine="640" w:firstLineChars="200"/>
        <w:rPr>
          <w:rFonts w:hint="eastAsia" w:ascii="仿宋_GB2312" w:hAnsi="仿宋_GB2312" w:eastAsia="仿宋_GB2312" w:cs="仿宋_GB2312"/>
          <w:color w:val="000000"/>
          <w:sz w:val="32"/>
          <w:szCs w:val="32"/>
        </w:rPr>
      </w:pPr>
    </w:p>
    <w:p>
      <w:pPr>
        <w:kinsoku w:val="0"/>
        <w:overflowPunct w:val="0"/>
        <w:adjustRightInd w:val="0"/>
        <w:snapToGrid w:val="0"/>
        <w:spacing w:line="360" w:lineRule="auto"/>
        <w:ind w:left="101" w:right="3569" w:firstLine="640" w:firstLineChars="200"/>
        <w:rPr>
          <w:rFonts w:hint="eastAsia" w:ascii="仿宋_GB2312" w:hAnsi="仿宋_GB2312" w:eastAsia="仿宋_GB2312" w:cs="仿宋_GB2312"/>
          <w:color w:val="000000"/>
          <w:sz w:val="32"/>
          <w:szCs w:val="32"/>
        </w:rPr>
      </w:pPr>
    </w:p>
    <w:p>
      <w:pPr>
        <w:kinsoku w:val="0"/>
        <w:overflowPunct w:val="0"/>
        <w:adjustRightInd w:val="0"/>
        <w:snapToGrid w:val="0"/>
        <w:spacing w:line="580" w:lineRule="exact"/>
        <w:ind w:left="-142" w:right="51" w:firstLine="30" w:firstLineChars="7"/>
        <w:jc w:val="center"/>
        <w:rPr>
          <w:rFonts w:hint="eastAsia" w:ascii="仿宋_GB2312" w:hAnsi="仿宋_GB2312" w:eastAsia="仿宋_GB2312" w:cs="仿宋_GB2312"/>
          <w:color w:val="000000"/>
          <w:sz w:val="44"/>
          <w:szCs w:val="44"/>
        </w:rPr>
      </w:pPr>
    </w:p>
    <w:p>
      <w:pPr>
        <w:kinsoku w:val="0"/>
        <w:overflowPunct w:val="0"/>
        <w:adjustRightInd w:val="0"/>
        <w:snapToGrid w:val="0"/>
        <w:spacing w:line="580" w:lineRule="exact"/>
        <w:ind w:left="-142" w:right="51" w:firstLine="30" w:firstLineChars="7"/>
        <w:jc w:val="center"/>
        <w:rPr>
          <w:rFonts w:hint="eastAsia"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目</w:t>
      </w:r>
      <w:r>
        <w:rPr>
          <w:rFonts w:hint="eastAsia" w:ascii="方正小标宋简体" w:hAnsi="仿宋_GB2312" w:eastAsia="方正小标宋简体" w:cs="仿宋_GB2312"/>
          <w:color w:val="000000"/>
          <w:spacing w:val="2"/>
          <w:sz w:val="44"/>
          <w:szCs w:val="44"/>
        </w:rPr>
        <w:t xml:space="preserve"> </w:t>
      </w:r>
      <w:r>
        <w:rPr>
          <w:rFonts w:hint="eastAsia" w:ascii="方正小标宋简体" w:hAnsi="仿宋_GB2312" w:eastAsia="方正小标宋简体" w:cs="仿宋_GB2312"/>
          <w:color w:val="000000"/>
          <w:sz w:val="44"/>
          <w:szCs w:val="44"/>
        </w:rPr>
        <w:t>录</w:t>
      </w:r>
    </w:p>
    <w:p>
      <w:pPr>
        <w:kinsoku w:val="0"/>
        <w:overflowPunct w:val="0"/>
        <w:adjustRightInd w:val="0"/>
        <w:snapToGrid w:val="0"/>
        <w:spacing w:line="580" w:lineRule="exact"/>
        <w:ind w:right="3569" w:firstLine="643" w:firstLineChars="200"/>
        <w:rPr>
          <w:rFonts w:hint="eastAsia" w:ascii="仿宋_GB2312" w:hAnsi="仿宋_GB2312" w:eastAsia="仿宋_GB2312" w:cs="仿宋_GB2312"/>
          <w:b/>
          <w:bCs/>
          <w:color w:val="000000"/>
          <w:sz w:val="32"/>
          <w:szCs w:val="32"/>
        </w:rPr>
      </w:pPr>
    </w:p>
    <w:p>
      <w:pPr>
        <w:kinsoku w:val="0"/>
        <w:overflowPunct w:val="0"/>
        <w:adjustRightInd w:val="0"/>
        <w:snapToGrid w:val="0"/>
        <w:spacing w:line="360" w:lineRule="auto"/>
        <w:ind w:right="3569" w:firstLine="643" w:firstLineChars="200"/>
        <w:rPr>
          <w:rFonts w:hint="eastAsia" w:ascii="仿宋_GB2312" w:hAnsi="仿宋_GB2312" w:eastAsia="仿宋_GB2312" w:cs="仿宋_GB2312"/>
          <w:w w:val="99"/>
          <w:sz w:val="32"/>
          <w:szCs w:val="32"/>
          <w:highlight w:val="none"/>
        </w:rPr>
      </w:pP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w w:val="99"/>
          <w:sz w:val="32"/>
          <w:szCs w:val="32"/>
          <w:highlight w:val="none"/>
        </w:rPr>
        <w:t xml:space="preserve"> </w:t>
      </w:r>
    </w:p>
    <w:p>
      <w:pPr>
        <w:kinsoku w:val="0"/>
        <w:overflowPunct w:val="0"/>
        <w:adjustRightInd w:val="0"/>
        <w:snapToGrid w:val="0"/>
        <w:spacing w:line="360" w:lineRule="auto"/>
        <w:ind w:right="3569"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一、主要职能</w:t>
      </w:r>
    </w:p>
    <w:p>
      <w:pPr>
        <w:kinsoku w:val="0"/>
        <w:overflowPunct w:val="0"/>
        <w:adjustRightInd w:val="0"/>
        <w:snapToGrid w:val="0"/>
        <w:spacing w:line="360" w:lineRule="auto"/>
        <w:ind w:right="3569"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二、部门预算单位构成</w:t>
      </w:r>
    </w:p>
    <w:p>
      <w:pPr>
        <w:kinsoku w:val="0"/>
        <w:overflowPunct w:val="0"/>
        <w:adjustRightInd w:val="0"/>
        <w:snapToGrid w:val="0"/>
        <w:spacing w:line="360" w:lineRule="auto"/>
        <w:ind w:left="2244" w:leftChars="304" w:right="521" w:hanging="1606" w:hangingChars="5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第二部分 中国共产党洛阳市老城区委员会组织部2019年部门预算情况说明</w:t>
      </w:r>
    </w:p>
    <w:p>
      <w:pPr>
        <w:kinsoku w:val="0"/>
        <w:overflowPunct w:val="0"/>
        <w:adjustRightInd w:val="0"/>
        <w:snapToGrid w:val="0"/>
        <w:spacing w:line="360" w:lineRule="auto"/>
        <w:ind w:right="521"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第三部分 名词解释</w:t>
      </w:r>
    </w:p>
    <w:p>
      <w:pPr>
        <w:kinsoku w:val="0"/>
        <w:overflowPunct w:val="0"/>
        <w:adjustRightInd w:val="0"/>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pacing w:val="-3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中国共产党洛阳市老城区委员会组织部2019</w:t>
      </w:r>
      <w:r>
        <w:rPr>
          <w:rFonts w:hint="eastAsia" w:ascii="仿宋_GB2312" w:hAnsi="仿宋_GB2312" w:eastAsia="仿宋_GB2312" w:cs="仿宋_GB2312"/>
          <w:sz w:val="32"/>
          <w:szCs w:val="32"/>
          <w:highlight w:val="none"/>
        </w:rPr>
        <w:t>年度部门预算表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一、部门收支总体情况表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二、部门收入总体情况表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三、部门支出总体情况表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四、财政拨款收支总体情况表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五、一般公共预算支出情况表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六、一般公共预算</w:t>
      </w:r>
      <w:r>
        <w:rPr>
          <w:rFonts w:hint="eastAsia" w:ascii="仿宋_GB2312" w:hAnsi="仿宋_GB2312" w:eastAsia="仿宋_GB2312" w:cs="仿宋_GB2312"/>
          <w:sz w:val="32"/>
          <w:szCs w:val="32"/>
          <w:highlight w:val="none"/>
          <w:lang w:eastAsia="zh-CN"/>
        </w:rPr>
        <w:t>基本</w:t>
      </w:r>
      <w:r>
        <w:rPr>
          <w:rFonts w:hint="eastAsia" w:ascii="仿宋_GB2312" w:hAnsi="仿宋_GB2312" w:eastAsia="仿宋_GB2312" w:cs="仿宋_GB2312"/>
          <w:sz w:val="32"/>
          <w:szCs w:val="32"/>
          <w:highlight w:val="none"/>
        </w:rPr>
        <w:t>支出情况表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七、一般公共预算“三公”经费支出情况表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八、政府性基金预算支出情况表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九、国有资本经营预算收支情况表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十、机关运行经费</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十一、预算项目支出绩效目标表</w:t>
      </w:r>
    </w:p>
    <w:p>
      <w:pPr>
        <w:kinsoku w:val="0"/>
        <w:overflowPunct w:val="0"/>
        <w:adjustRightInd w:val="0"/>
        <w:snapToGrid w:val="0"/>
        <w:spacing w:line="360" w:lineRule="auto"/>
        <w:ind w:right="51" w:firstLine="960" w:firstLineChars="300"/>
        <w:jc w:val="left"/>
        <w:rPr>
          <w:rFonts w:hint="eastAsia" w:ascii="仿宋_GB2312" w:hAnsi="仿宋_GB2312" w:eastAsia="仿宋_GB2312" w:cs="仿宋_GB2312"/>
          <w:sz w:val="32"/>
          <w:szCs w:val="32"/>
          <w:highlight w:val="none"/>
          <w:lang w:val="en-US" w:eastAsia="zh-CN"/>
        </w:rPr>
      </w:pPr>
    </w:p>
    <w:p>
      <w:pPr>
        <w:adjustRightInd w:val="0"/>
        <w:snapToGrid w:val="0"/>
        <w:spacing w:line="580" w:lineRule="exact"/>
        <w:ind w:firstLine="3855" w:firstLineChars="1200"/>
        <w:rPr>
          <w:rFonts w:hint="eastAsia" w:ascii="仿宋_GB2312" w:hAnsi="仿宋_GB2312" w:eastAsia="仿宋_GB2312" w:cs="仿宋_GB2312"/>
          <w:b/>
          <w:bCs/>
          <w:color w:val="000000"/>
          <w:sz w:val="32"/>
          <w:szCs w:val="32"/>
        </w:rPr>
      </w:pPr>
    </w:p>
    <w:p>
      <w:pPr>
        <w:adjustRightInd w:val="0"/>
        <w:snapToGrid w:val="0"/>
        <w:spacing w:line="580" w:lineRule="exact"/>
        <w:jc w:val="center"/>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第一部分</w:t>
      </w:r>
    </w:p>
    <w:p>
      <w:pPr>
        <w:adjustRightInd w:val="0"/>
        <w:snapToGrid w:val="0"/>
        <w:spacing w:line="580" w:lineRule="exact"/>
        <w:jc w:val="center"/>
        <w:rPr>
          <w:rFonts w:hint="eastAsia" w:ascii="黑体" w:hAnsi="仿宋_GB2312" w:eastAsia="黑体" w:cs="仿宋_GB2312"/>
          <w:color w:val="000000"/>
          <w:sz w:val="36"/>
          <w:szCs w:val="36"/>
        </w:rPr>
      </w:pPr>
      <w:r>
        <w:rPr>
          <w:rFonts w:hint="eastAsia" w:ascii="黑体" w:hAnsi="仿宋_GB2312" w:eastAsia="黑体" w:cs="仿宋_GB2312"/>
          <w:bCs/>
          <w:color w:val="000000"/>
          <w:sz w:val="36"/>
          <w:szCs w:val="36"/>
          <w:lang w:eastAsia="zh-CN"/>
        </w:rPr>
        <w:t>中国共产党洛阳市老城区委员会组织部</w:t>
      </w:r>
      <w:r>
        <w:rPr>
          <w:rFonts w:hint="eastAsia" w:ascii="黑体" w:hAnsi="仿宋_GB2312" w:eastAsia="黑体" w:cs="仿宋_GB2312"/>
          <w:bCs/>
          <w:color w:val="000000"/>
          <w:sz w:val="36"/>
          <w:szCs w:val="36"/>
        </w:rPr>
        <w:t>部门概况</w:t>
      </w:r>
    </w:p>
    <w:p>
      <w:pPr>
        <w:adjustRightInd w:val="0"/>
        <w:snapToGrid w:val="0"/>
        <w:spacing w:line="580" w:lineRule="exact"/>
        <w:ind w:firstLine="640" w:firstLineChars="200"/>
        <w:jc w:val="center"/>
        <w:rPr>
          <w:rFonts w:hint="eastAsia" w:ascii="仿宋_GB2312" w:hAnsi="仿宋_GB2312" w:eastAsia="仿宋_GB2312" w:cs="仿宋_GB2312"/>
          <w:color w:val="000000"/>
          <w:sz w:val="32"/>
          <w:szCs w:val="32"/>
        </w:rPr>
      </w:pPr>
    </w:p>
    <w:p>
      <w:pPr>
        <w:numPr>
          <w:ilvl w:val="0"/>
          <w:numId w:val="1"/>
        </w:numPr>
        <w:adjustRightInd w:val="0"/>
        <w:snapToGrid w:val="0"/>
        <w:spacing w:line="580" w:lineRule="exact"/>
        <w:ind w:firstLine="640" w:firstLineChars="200"/>
        <w:outlineLvl w:val="0"/>
        <w:rPr>
          <w:rFonts w:hint="eastAsia" w:ascii="黑体" w:hAnsi="仿宋_GB2312" w:eastAsia="黑体" w:cs="仿宋_GB2312"/>
          <w:color w:val="000000"/>
          <w:sz w:val="32"/>
          <w:szCs w:val="32"/>
        </w:rPr>
      </w:pPr>
      <w:r>
        <w:rPr>
          <w:rFonts w:hint="eastAsia" w:ascii="黑体" w:hAnsi="仿宋_GB2312" w:eastAsia="黑体" w:cs="仿宋_GB2312"/>
          <w:color w:val="000000"/>
          <w:sz w:val="32"/>
          <w:szCs w:val="32"/>
        </w:rPr>
        <w:t>主要职能</w:t>
      </w:r>
    </w:p>
    <w:p>
      <w:pPr>
        <w:numPr>
          <w:ilvl w:val="0"/>
          <w:numId w:val="2"/>
        </w:numPr>
        <w:kinsoku w:val="0"/>
        <w:overflowPunct w:val="0"/>
        <w:adjustRightInd w:val="0"/>
        <w:snapToGrid w:val="0"/>
        <w:spacing w:line="580" w:lineRule="exact"/>
        <w:ind w:right="3569" w:firstLine="640" w:firstLineChars="200"/>
        <w:jc w:val="left"/>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机构设置情况</w:t>
      </w:r>
    </w:p>
    <w:p>
      <w:pPr>
        <w:ind w:firstLine="640" w:firstLineChars="200"/>
        <w:rPr>
          <w:rFonts w:hint="default"/>
          <w:lang w:val="en-US" w:eastAsia="zh-CN"/>
        </w:rPr>
      </w:pPr>
      <w:r>
        <w:rPr>
          <w:rFonts w:hint="eastAsia" w:ascii="仿宋" w:hAnsi="仿宋" w:eastAsia="仿宋" w:cs="仿宋"/>
          <w:sz w:val="32"/>
          <w:szCs w:val="32"/>
          <w:lang w:val="en-US" w:eastAsia="zh-CN"/>
        </w:rPr>
        <w:t>中国共产党洛阳市老城区委员会组织部位于老城区状元红路与经八路交叉口，属于机关行政编制。</w:t>
      </w:r>
    </w:p>
    <w:p>
      <w:pPr>
        <w:numPr>
          <w:ilvl w:val="0"/>
          <w:numId w:val="2"/>
        </w:numPr>
        <w:kinsoku w:val="0"/>
        <w:overflowPunct w:val="0"/>
        <w:adjustRightInd w:val="0"/>
        <w:snapToGrid w:val="0"/>
        <w:spacing w:line="580" w:lineRule="exact"/>
        <w:ind w:left="0" w:leftChars="0" w:right="3569" w:firstLine="640" w:firstLineChars="200"/>
        <w:jc w:val="left"/>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部门职责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楷体_GB2312" w:hAnsi="仿宋_GB2312" w:eastAsia="楷体_GB2312" w:cs="仿宋_GB2312"/>
          <w:color w:val="000000"/>
          <w:sz w:val="32"/>
          <w:szCs w:val="32"/>
          <w:lang w:val="en-US"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组织部是老城区委的重要的工作部门，主要负责全区的基层组织建设、党员发展、教育和管理；承担全区干部队伍建设、监督管理以及人才工作。</w:t>
      </w:r>
    </w:p>
    <w:p>
      <w:pPr>
        <w:numPr>
          <w:ilvl w:val="0"/>
          <w:numId w:val="1"/>
        </w:numPr>
        <w:kinsoku w:val="0"/>
        <w:overflowPunct w:val="0"/>
        <w:adjustRightInd w:val="0"/>
        <w:snapToGrid w:val="0"/>
        <w:spacing w:line="580" w:lineRule="exact"/>
        <w:ind w:left="0" w:leftChars="0" w:right="3569" w:firstLine="640" w:firstLineChars="200"/>
        <w:jc w:val="left"/>
        <w:outlineLvl w:val="0"/>
        <w:rPr>
          <w:rFonts w:hint="eastAsia" w:ascii="黑体" w:hAnsi="仿宋_GB2312" w:eastAsia="黑体" w:cs="仿宋_GB2312"/>
          <w:color w:val="000000"/>
          <w:sz w:val="32"/>
          <w:szCs w:val="32"/>
        </w:rPr>
      </w:pPr>
      <w:r>
        <w:rPr>
          <w:rFonts w:hint="eastAsia" w:ascii="黑体" w:hAnsi="仿宋_GB2312" w:eastAsia="黑体" w:cs="仿宋_GB2312"/>
          <w:color w:val="000000"/>
          <w:sz w:val="32"/>
          <w:szCs w:val="32"/>
        </w:rPr>
        <w:t>预算单位构成</w:t>
      </w:r>
    </w:p>
    <w:p>
      <w:pPr>
        <w:keepNext w:val="0"/>
        <w:keepLines w:val="0"/>
        <w:pageBreakBefore w:val="0"/>
        <w:widowControl w:val="0"/>
        <w:tabs>
          <w:tab w:val="left" w:pos="3150"/>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我单位属于机关行政部门，内设</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val="en-US" w:eastAsia="zh-CN"/>
        </w:rPr>
        <w:t>个职能科室，包括办公室、干部科、组织科</w:t>
      </w:r>
      <w:r>
        <w:rPr>
          <w:rFonts w:hint="default" w:ascii="Times New Roman" w:hAnsi="Times New Roman" w:eastAsia="仿宋" w:cs="Times New Roman"/>
          <w:color w:val="auto"/>
          <w:sz w:val="32"/>
          <w:szCs w:val="32"/>
          <w:highlight w:val="none"/>
          <w:lang w:val="en-US" w:eastAsia="zh-CN"/>
        </w:rPr>
        <w:t>。</w:t>
      </w:r>
    </w:p>
    <w:p>
      <w:pPr>
        <w:numPr>
          <w:ilvl w:val="0"/>
          <w:numId w:val="0"/>
        </w:numPr>
        <w:kinsoku w:val="0"/>
        <w:overflowPunct w:val="0"/>
        <w:adjustRightInd w:val="0"/>
        <w:snapToGrid w:val="0"/>
        <w:spacing w:line="580" w:lineRule="exact"/>
        <w:ind w:leftChars="200" w:right="3569" w:rightChars="0"/>
        <w:jc w:val="left"/>
        <w:outlineLvl w:val="0"/>
        <w:rPr>
          <w:rFonts w:hint="default" w:ascii="仿宋" w:hAnsi="仿宋" w:eastAsia="仿宋" w:cs="仿宋"/>
          <w:color w:val="000000"/>
          <w:sz w:val="32"/>
          <w:szCs w:val="32"/>
          <w:lang w:val="en-US" w:eastAsia="zh-CN"/>
        </w:rPr>
      </w:pPr>
    </w:p>
    <w:p>
      <w:pPr>
        <w:widowControl/>
        <w:shd w:val="clear" w:color="auto" w:fill="FFFFFF"/>
        <w:spacing w:line="580" w:lineRule="exact"/>
        <w:jc w:val="center"/>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第二部分</w:t>
      </w:r>
    </w:p>
    <w:p>
      <w:pPr>
        <w:widowControl/>
        <w:shd w:val="clear" w:color="auto" w:fill="FFFFFF"/>
        <w:spacing w:line="580" w:lineRule="exact"/>
        <w:jc w:val="center"/>
        <w:rPr>
          <w:rFonts w:hint="eastAsia" w:ascii="黑体" w:hAnsi="仿宋_GB2312" w:eastAsia="黑体" w:cs="仿宋_GB2312"/>
          <w:bCs/>
          <w:color w:val="000000"/>
          <w:sz w:val="36"/>
          <w:szCs w:val="36"/>
          <w:lang w:val="en-US" w:eastAsia="zh-CN"/>
        </w:rPr>
      </w:pPr>
      <w:r>
        <w:rPr>
          <w:rFonts w:hint="eastAsia" w:ascii="黑体" w:hAnsi="仿宋_GB2312" w:eastAsia="黑体" w:cs="仿宋_GB2312"/>
          <w:bCs/>
          <w:color w:val="000000"/>
          <w:sz w:val="36"/>
          <w:szCs w:val="36"/>
          <w:lang w:val="en-US" w:eastAsia="zh-CN"/>
        </w:rPr>
        <w:t>中国共产党洛阳市老城区委员会组织部</w:t>
      </w:r>
    </w:p>
    <w:p>
      <w:pPr>
        <w:widowControl/>
        <w:shd w:val="clear" w:color="auto" w:fill="FFFFFF"/>
        <w:spacing w:line="580" w:lineRule="exact"/>
        <w:jc w:val="center"/>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2019年度部门预算情况说明</w:t>
      </w:r>
    </w:p>
    <w:p>
      <w:pPr>
        <w:adjustRightInd w:val="0"/>
        <w:snapToGrid w:val="0"/>
        <w:spacing w:line="580" w:lineRule="exact"/>
        <w:ind w:firstLine="640" w:firstLineChars="200"/>
        <w:outlineLvl w:val="0"/>
        <w:rPr>
          <w:rFonts w:hint="eastAsia" w:ascii="仿宋_GB2312" w:hAnsi="仿宋_GB2312" w:eastAsia="仿宋_GB2312" w:cs="仿宋_GB2312"/>
          <w:color w:val="000000"/>
          <w:sz w:val="32"/>
          <w:szCs w:val="32"/>
        </w:rPr>
      </w:pPr>
    </w:p>
    <w:p>
      <w:pPr>
        <w:adjustRightInd w:val="0"/>
        <w:snapToGrid w:val="0"/>
        <w:spacing w:line="580" w:lineRule="exact"/>
        <w:ind w:firstLine="640" w:firstLineChars="200"/>
        <w:outlineLvl w:val="0"/>
        <w:rPr>
          <w:rFonts w:hint="eastAsia" w:ascii="黑体" w:hAnsi="黑体" w:eastAsia="黑体"/>
          <w:color w:val="000000"/>
          <w:sz w:val="32"/>
          <w:szCs w:val="32"/>
        </w:rPr>
      </w:pPr>
      <w:r>
        <w:rPr>
          <w:rFonts w:hint="eastAsia" w:ascii="黑体" w:hAnsi="黑体" w:eastAsia="黑体"/>
          <w:color w:val="000000"/>
          <w:sz w:val="32"/>
          <w:szCs w:val="32"/>
        </w:rPr>
        <w:t>一、收入支出预算总体情况说明</w:t>
      </w:r>
    </w:p>
    <w:p>
      <w:pPr>
        <w:adjustRightInd w:val="0"/>
        <w:snapToGrid w:val="0"/>
        <w:spacing w:line="580" w:lineRule="exact"/>
        <w:ind w:firstLine="640" w:firstLineChars="200"/>
        <w:rPr>
          <w:rFonts w:hint="eastAsia" w:ascii="Arial" w:hAnsi="Arial" w:eastAsia="仿宋_GB2312" w:cs="Arial"/>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2019年收入</w:t>
      </w:r>
      <w:r>
        <w:rPr>
          <w:rFonts w:hint="eastAsia" w:ascii="仿宋_GB2312" w:hAnsi="仿宋_GB2312" w:eastAsia="仿宋_GB2312" w:cs="仿宋_GB2312"/>
          <w:color w:val="000000"/>
          <w:sz w:val="32"/>
          <w:szCs w:val="32"/>
          <w:highlight w:val="none"/>
          <w:lang w:val="en-US" w:eastAsia="zh-CN"/>
        </w:rPr>
        <w:t>291.43</w:t>
      </w:r>
      <w:r>
        <w:rPr>
          <w:rFonts w:hint="eastAsia" w:ascii="仿宋_GB2312" w:hAnsi="仿宋_GB2312" w:eastAsia="仿宋_GB2312" w:cs="仿宋_GB2312"/>
          <w:color w:val="000000"/>
          <w:sz w:val="32"/>
          <w:szCs w:val="32"/>
        </w:rPr>
        <w:t>万元，支出总计</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万元，与2018年</w:t>
      </w:r>
      <w:r>
        <w:rPr>
          <w:rFonts w:hint="eastAsia" w:ascii="仿宋_GB2312" w:hAnsi="仿宋_GB2312" w:eastAsia="仿宋_GB2312" w:cs="仿宋_GB2312"/>
          <w:color w:val="000000"/>
          <w:sz w:val="32"/>
          <w:szCs w:val="32"/>
          <w:lang w:val="en-US" w:eastAsia="zh-CN"/>
        </w:rPr>
        <w:t>275.86万元</w:t>
      </w:r>
      <w:r>
        <w:rPr>
          <w:rFonts w:hint="eastAsia" w:ascii="仿宋_GB2312" w:hAnsi="仿宋_GB2312" w:eastAsia="仿宋_GB2312" w:cs="仿宋_GB2312"/>
          <w:color w:val="000000"/>
          <w:sz w:val="32"/>
          <w:szCs w:val="32"/>
        </w:rPr>
        <w:t>相比，收、支总计各</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15.57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highlight w:val="none"/>
          <w:lang w:val="en-US" w:eastAsia="zh-CN"/>
        </w:rPr>
        <w:t>5.6</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rPr>
        <w:t>。主要原因</w:t>
      </w:r>
      <w:r>
        <w:rPr>
          <w:rFonts w:hint="eastAsia" w:ascii="仿宋_GB2312" w:hAnsi="仿宋_GB2312" w:eastAsia="仿宋_GB2312" w:cs="仿宋_GB2312"/>
          <w:color w:val="000000"/>
          <w:sz w:val="32"/>
          <w:szCs w:val="32"/>
          <w:lang w:val="en-US" w:eastAsia="zh-CN"/>
        </w:rPr>
        <w:t>是2019年人员工资收入增加</w:t>
      </w:r>
      <w:r>
        <w:rPr>
          <w:rFonts w:hint="eastAsia" w:ascii="Arial" w:hAnsi="Arial" w:eastAsia="仿宋_GB2312" w:cs="Arial"/>
          <w:color w:val="000000"/>
          <w:sz w:val="32"/>
          <w:szCs w:val="32"/>
        </w:rPr>
        <w:t xml:space="preserve">。  </w:t>
      </w:r>
    </w:p>
    <w:p>
      <w:pPr>
        <w:adjustRightInd w:val="0"/>
        <w:snapToGrid w:val="0"/>
        <w:spacing w:line="58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二、收入预算总体情况说明</w:t>
      </w:r>
    </w:p>
    <w:p>
      <w:pPr>
        <w:widowControl/>
        <w:shd w:val="clear" w:color="auto" w:fill="FFFFFF"/>
        <w:spacing w:line="580" w:lineRule="exact"/>
        <w:ind w:firstLine="64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2019年收入合计</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万元，其中：一般公共预算收入</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 政府性基金预算收入</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万元；国有资本经营预算收入</w:t>
      </w:r>
      <w:r>
        <w:rPr>
          <w:rFonts w:hint="eastAsia" w:ascii="仿宋_GB2312" w:hAnsi="仿宋_GB2312" w:eastAsia="仿宋_GB2312" w:cs="仿宋_GB2312"/>
          <w:color w:val="000000"/>
          <w:sz w:val="32"/>
          <w:szCs w:val="32"/>
          <w:lang w:val="en-US" w:eastAsia="zh-CN"/>
        </w:rPr>
        <w:t>0</w:t>
      </w:r>
      <w:r>
        <w:rPr>
          <w:rFonts w:hint="eastAsia" w:ascii="Arial" w:hAnsi="Arial" w:eastAsia="仿宋_GB2312" w:cs="Arial"/>
          <w:color w:val="000000"/>
          <w:sz w:val="32"/>
          <w:szCs w:val="32"/>
        </w:rPr>
        <w:t>万元；其他收入</w:t>
      </w:r>
      <w:r>
        <w:rPr>
          <w:rFonts w:hint="eastAsia" w:ascii="Arial" w:hAnsi="Arial" w:eastAsia="仿宋_GB2312" w:cs="Arial"/>
          <w:color w:val="000000"/>
          <w:sz w:val="32"/>
          <w:szCs w:val="32"/>
          <w:lang w:val="en-US" w:eastAsia="zh-CN"/>
        </w:rPr>
        <w:t>0</w:t>
      </w:r>
      <w:r>
        <w:rPr>
          <w:rFonts w:hint="eastAsia" w:ascii="Arial" w:hAnsi="Arial" w:eastAsia="仿宋_GB2312" w:cs="Arial"/>
          <w:color w:val="000000"/>
          <w:sz w:val="32"/>
          <w:szCs w:val="32"/>
        </w:rPr>
        <w:t>万元；。</w:t>
      </w:r>
      <w:r>
        <w:rPr>
          <w:rFonts w:hint="eastAsia" w:ascii="仿宋_GB2312" w:hAnsi="仿宋_GB2312" w:eastAsia="仿宋_GB2312" w:cs="仿宋_GB2312"/>
          <w:color w:val="000000"/>
          <w:sz w:val="32"/>
          <w:szCs w:val="32"/>
        </w:rPr>
        <w:t xml:space="preserve"> </w:t>
      </w:r>
    </w:p>
    <w:p>
      <w:pPr>
        <w:spacing w:line="580" w:lineRule="exact"/>
        <w:ind w:firstLine="640" w:firstLineChars="200"/>
        <w:outlineLvl w:val="0"/>
        <w:rPr>
          <w:rFonts w:hint="eastAsia" w:ascii="仿宋_GB2312" w:hAnsi="仿宋_GB2312" w:eastAsia="仿宋_GB2312" w:cs="仿宋_GB2312"/>
          <w:color w:val="000000"/>
          <w:sz w:val="32"/>
          <w:szCs w:val="32"/>
        </w:rPr>
      </w:pPr>
      <w:r>
        <w:rPr>
          <w:rFonts w:hint="eastAsia" w:ascii="黑体" w:hAnsi="黑体" w:eastAsia="黑体"/>
          <w:color w:val="000000"/>
          <w:sz w:val="32"/>
          <w:szCs w:val="32"/>
        </w:rPr>
        <w:t>三、支出预算总体情况说明</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2019年支出合计</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万元，其中：</w:t>
      </w:r>
      <w:r>
        <w:rPr>
          <w:rFonts w:hint="eastAsia" w:ascii="仿宋" w:hAnsi="仿宋" w:eastAsia="仿宋" w:cs="仿宋"/>
          <w:sz w:val="32"/>
          <w:szCs w:val="32"/>
        </w:rPr>
        <w:t>工资福利支出</w:t>
      </w:r>
      <w:r>
        <w:rPr>
          <w:rFonts w:hint="eastAsia" w:ascii="仿宋" w:hAnsi="仿宋" w:eastAsia="仿宋" w:cs="仿宋"/>
          <w:sz w:val="32"/>
          <w:szCs w:val="32"/>
          <w:lang w:val="en-US" w:eastAsia="zh-CN"/>
        </w:rPr>
        <w:t>167.79万</w:t>
      </w:r>
      <w:r>
        <w:rPr>
          <w:rFonts w:hint="eastAsia" w:ascii="仿宋" w:hAnsi="仿宋" w:eastAsia="仿宋" w:cs="仿宋"/>
          <w:sz w:val="32"/>
          <w:szCs w:val="32"/>
        </w:rPr>
        <w:t>元，占</w:t>
      </w:r>
      <w:r>
        <w:rPr>
          <w:rFonts w:hint="eastAsia" w:ascii="仿宋" w:hAnsi="仿宋" w:eastAsia="仿宋" w:cs="仿宋"/>
          <w:sz w:val="32"/>
          <w:szCs w:val="32"/>
          <w:lang w:val="en-US" w:eastAsia="zh-CN"/>
        </w:rPr>
        <w:t>58</w:t>
      </w:r>
      <w:r>
        <w:rPr>
          <w:rFonts w:hint="eastAsia" w:ascii="仿宋" w:hAnsi="仿宋" w:eastAsia="仿宋" w:cs="仿宋"/>
          <w:sz w:val="32"/>
          <w:szCs w:val="32"/>
        </w:rPr>
        <w:t>％；对个人和家庭的补助</w:t>
      </w:r>
      <w:r>
        <w:rPr>
          <w:rFonts w:hint="eastAsia" w:ascii="仿宋" w:hAnsi="仿宋" w:eastAsia="仿宋" w:cs="仿宋"/>
          <w:sz w:val="32"/>
          <w:szCs w:val="32"/>
          <w:lang w:val="en-US" w:eastAsia="zh-CN"/>
        </w:rPr>
        <w:t>28.86万</w:t>
      </w:r>
      <w:r>
        <w:rPr>
          <w:rFonts w:hint="eastAsia" w:ascii="仿宋" w:hAnsi="仿宋" w:eastAsia="仿宋" w:cs="仿宋"/>
          <w:sz w:val="32"/>
          <w:szCs w:val="32"/>
        </w:rPr>
        <w:t>元，占</w:t>
      </w:r>
      <w:r>
        <w:rPr>
          <w:rFonts w:hint="eastAsia" w:ascii="仿宋" w:hAnsi="仿宋" w:eastAsia="仿宋" w:cs="仿宋"/>
          <w:sz w:val="32"/>
          <w:szCs w:val="32"/>
          <w:lang w:val="en-US" w:eastAsia="zh-CN"/>
        </w:rPr>
        <w:t>10</w:t>
      </w:r>
      <w:r>
        <w:rPr>
          <w:rFonts w:hint="eastAsia" w:ascii="仿宋" w:hAnsi="仿宋" w:eastAsia="仿宋" w:cs="仿宋"/>
          <w:sz w:val="32"/>
          <w:szCs w:val="32"/>
        </w:rPr>
        <w:t>％；商品服务支出</w:t>
      </w:r>
      <w:r>
        <w:rPr>
          <w:rFonts w:hint="eastAsia" w:ascii="仿宋" w:hAnsi="仿宋" w:eastAsia="仿宋" w:cs="仿宋"/>
          <w:color w:val="auto"/>
          <w:sz w:val="32"/>
          <w:szCs w:val="32"/>
          <w:lang w:val="en-US" w:eastAsia="zh-CN"/>
        </w:rPr>
        <w:t>9.79</w:t>
      </w:r>
      <w:r>
        <w:rPr>
          <w:rFonts w:hint="eastAsia" w:ascii="仿宋" w:hAnsi="仿宋" w:eastAsia="仿宋" w:cs="仿宋"/>
          <w:sz w:val="32"/>
          <w:szCs w:val="32"/>
          <w:lang w:val="en-US" w:eastAsia="zh-CN"/>
        </w:rPr>
        <w:t>万</w:t>
      </w:r>
      <w:r>
        <w:rPr>
          <w:rFonts w:hint="eastAsia" w:ascii="仿宋" w:hAnsi="仿宋" w:eastAsia="仿宋" w:cs="仿宋"/>
          <w:sz w:val="32"/>
          <w:szCs w:val="32"/>
        </w:rPr>
        <w:t>元，占</w:t>
      </w:r>
      <w:r>
        <w:rPr>
          <w:rFonts w:hint="eastAsia" w:ascii="仿宋" w:hAnsi="仿宋" w:eastAsia="仿宋" w:cs="仿宋"/>
          <w:sz w:val="32"/>
          <w:szCs w:val="32"/>
          <w:lang w:val="en-US" w:eastAsia="zh-CN"/>
        </w:rPr>
        <w:t>3</w:t>
      </w:r>
      <w:r>
        <w:rPr>
          <w:rFonts w:hint="eastAsia" w:ascii="仿宋" w:hAnsi="仿宋" w:eastAsia="仿宋" w:cs="仿宋"/>
          <w:sz w:val="32"/>
          <w:szCs w:val="32"/>
        </w:rPr>
        <w:t>％；项目支出</w:t>
      </w:r>
      <w:r>
        <w:rPr>
          <w:rFonts w:hint="eastAsia" w:ascii="仿宋" w:hAnsi="仿宋" w:eastAsia="仿宋" w:cs="仿宋"/>
          <w:sz w:val="32"/>
          <w:szCs w:val="32"/>
          <w:lang w:val="en-US" w:eastAsia="zh-CN"/>
        </w:rPr>
        <w:t>85</w:t>
      </w:r>
      <w:r>
        <w:rPr>
          <w:rFonts w:hint="eastAsia" w:ascii="仿宋" w:hAnsi="仿宋" w:eastAsia="仿宋" w:cs="仿宋"/>
          <w:sz w:val="32"/>
          <w:szCs w:val="32"/>
        </w:rPr>
        <w:t>万元，占</w:t>
      </w:r>
      <w:r>
        <w:rPr>
          <w:rFonts w:hint="eastAsia" w:ascii="仿宋" w:hAnsi="仿宋" w:eastAsia="仿宋" w:cs="仿宋"/>
          <w:sz w:val="32"/>
          <w:szCs w:val="32"/>
          <w:lang w:val="en-US" w:eastAsia="zh-CN"/>
        </w:rPr>
        <w:t>29</w:t>
      </w:r>
      <w:r>
        <w:rPr>
          <w:rFonts w:hint="eastAsia" w:ascii="仿宋" w:hAnsi="仿宋" w:eastAsia="仿宋" w:cs="仿宋"/>
          <w:sz w:val="32"/>
          <w:szCs w:val="32"/>
        </w:rPr>
        <w:t>％。</w:t>
      </w:r>
    </w:p>
    <w:p>
      <w:pPr>
        <w:spacing w:line="580" w:lineRule="exact"/>
        <w:ind w:firstLine="640" w:firstLineChars="200"/>
        <w:outlineLvl w:val="0"/>
        <w:rPr>
          <w:rFonts w:hint="eastAsia" w:ascii="黑体" w:hAnsi="黑体" w:eastAsia="黑体"/>
          <w:color w:val="000000"/>
          <w:sz w:val="32"/>
          <w:szCs w:val="32"/>
        </w:rPr>
      </w:pPr>
      <w:r>
        <w:rPr>
          <w:rFonts w:hint="eastAsia" w:ascii="黑体" w:hAnsi="黑体" w:eastAsia="黑体"/>
          <w:color w:val="000000"/>
          <w:sz w:val="32"/>
          <w:szCs w:val="32"/>
        </w:rPr>
        <w:t>四、财政拨款收入支出预算总体情况说明</w:t>
      </w:r>
    </w:p>
    <w:p>
      <w:pPr>
        <w:adjustRightInd w:val="0"/>
        <w:snapToGrid w:val="0"/>
        <w:spacing w:line="580" w:lineRule="exact"/>
        <w:ind w:firstLine="640" w:firstLineChars="200"/>
        <w:rPr>
          <w:rFonts w:hint="default" w:eastAsia="仿宋_GB2312" w:cs="仿宋_GB2312" w:asciiTheme="majorAscii" w:hAnsiTheme="majorAscii"/>
          <w:color w:val="000000"/>
          <w:sz w:val="32"/>
          <w:szCs w:val="32"/>
          <w:lang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2019年一般公共预算收支预算</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万元。政府性基金收支预算</w:t>
      </w:r>
      <w:r>
        <w:rPr>
          <w:rFonts w:hint="eastAsia" w:ascii="仿宋_GB2312" w:hAnsi="仿宋_GB2312" w:eastAsia="仿宋_GB2312" w:cs="仿宋_GB2312"/>
          <w:color w:val="000000"/>
          <w:sz w:val="32"/>
          <w:szCs w:val="32"/>
          <w:lang w:val="en-US" w:eastAsia="zh-CN"/>
        </w:rPr>
        <w:t>0</w:t>
      </w:r>
      <w:r>
        <w:rPr>
          <w:rFonts w:hint="eastAsia" w:ascii="Arial" w:hAnsi="Arial" w:eastAsia="仿宋_GB2312" w:cs="Arial"/>
          <w:color w:val="000000"/>
          <w:sz w:val="32"/>
          <w:szCs w:val="32"/>
        </w:rPr>
        <w:t>万元，</w:t>
      </w:r>
      <w:r>
        <w:rPr>
          <w:rFonts w:hint="eastAsia" w:ascii="仿宋_GB2312" w:hAnsi="仿宋_GB2312" w:eastAsia="仿宋_GB2312" w:cs="仿宋_GB2312"/>
          <w:color w:val="000000"/>
          <w:sz w:val="32"/>
          <w:szCs w:val="32"/>
        </w:rPr>
        <w:t>与 2018年相比，一般公共预算收支预算</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15.57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5.6</w:t>
      </w:r>
      <w:r>
        <w:rPr>
          <w:rFonts w:hint="eastAsia" w:ascii="仿宋_GB2312" w:hAnsi="仿宋_GB2312" w:eastAsia="仿宋_GB2312" w:cs="仿宋_GB2312"/>
          <w:color w:val="000000"/>
          <w:sz w:val="32"/>
          <w:szCs w:val="32"/>
        </w:rPr>
        <w:t>%，主要</w:t>
      </w:r>
      <w:r>
        <w:rPr>
          <w:rFonts w:hint="eastAsia" w:ascii="仿宋" w:hAnsi="仿宋" w:eastAsia="仿宋" w:cs="仿宋"/>
          <w:color w:val="000000"/>
          <w:sz w:val="32"/>
          <w:szCs w:val="32"/>
        </w:rPr>
        <w:t>原因</w:t>
      </w:r>
      <w:r>
        <w:rPr>
          <w:rFonts w:hint="eastAsia" w:ascii="仿宋" w:hAnsi="仿宋" w:eastAsia="仿宋" w:cs="仿宋"/>
          <w:color w:val="000000"/>
          <w:sz w:val="32"/>
          <w:szCs w:val="32"/>
          <w:lang w:val="en-US" w:eastAsia="zh-CN"/>
        </w:rPr>
        <w:t>2019年人员工资收入增加</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政府性基金收支增加</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万元，增长</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%，主要原因：</w:t>
      </w:r>
      <w:r>
        <w:rPr>
          <w:rFonts w:hint="eastAsia" w:ascii="仿宋" w:hAnsi="仿宋" w:eastAsia="仿宋" w:cs="仿宋"/>
          <w:color w:val="000000"/>
          <w:sz w:val="32"/>
          <w:szCs w:val="32"/>
          <w:lang w:val="en-US" w:eastAsia="zh-CN"/>
        </w:rPr>
        <w:t>2019年无此项经费</w:t>
      </w:r>
      <w:r>
        <w:rPr>
          <w:rFonts w:hint="eastAsia" w:ascii="仿宋" w:hAnsi="仿宋" w:eastAsia="仿宋" w:cs="仿宋"/>
          <w:color w:val="000000"/>
          <w:sz w:val="32"/>
          <w:szCs w:val="32"/>
        </w:rPr>
        <w:t>。</w:t>
      </w:r>
    </w:p>
    <w:p>
      <w:pPr>
        <w:spacing w:line="580" w:lineRule="exact"/>
        <w:ind w:firstLine="640" w:firstLineChars="200"/>
        <w:outlineLvl w:val="0"/>
        <w:rPr>
          <w:rFonts w:hint="eastAsia" w:ascii="黑体" w:hAnsi="黑体" w:eastAsia="黑体"/>
          <w:color w:val="000000"/>
          <w:sz w:val="32"/>
          <w:szCs w:val="32"/>
        </w:rPr>
      </w:pPr>
      <w:r>
        <w:rPr>
          <w:rFonts w:hint="eastAsia" w:ascii="黑体" w:hAnsi="黑体" w:eastAsia="黑体"/>
          <w:color w:val="000000"/>
          <w:sz w:val="32"/>
          <w:szCs w:val="32"/>
        </w:rPr>
        <w:t>五、一般公共预算支出预算情况说明</w:t>
      </w:r>
    </w:p>
    <w:p>
      <w:pPr>
        <w:widowControl/>
        <w:spacing w:line="580" w:lineRule="exact"/>
        <w:ind w:firstLine="622"/>
        <w:rPr>
          <w:rFonts w:hint="eastAsia" w:ascii="仿宋_GB2312" w:hAnsi="仿宋_GB2312" w:eastAsia="仿宋_GB2312" w:cs="仿宋_GB2312"/>
          <w:color w:val="auto"/>
          <w:kern w:val="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2019年一般公共预算支出年初预算为</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color w:val="auto"/>
          <w:kern w:val="0"/>
          <w:sz w:val="32"/>
          <w:szCs w:val="32"/>
        </w:rPr>
        <w:t>一般公共服务支出</w:t>
      </w:r>
      <w:r>
        <w:rPr>
          <w:rFonts w:hint="eastAsia" w:ascii="仿宋_GB2312" w:hAnsi="仿宋_GB2312" w:eastAsia="仿宋_GB2312" w:cs="仿宋_GB2312"/>
          <w:color w:val="auto"/>
          <w:kern w:val="0"/>
          <w:sz w:val="32"/>
          <w:szCs w:val="32"/>
          <w:lang w:val="en-US" w:eastAsia="zh-CN"/>
        </w:rPr>
        <w:t>246.80</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highlight w:val="none"/>
        </w:rPr>
        <w:t>占</w:t>
      </w:r>
      <w:r>
        <w:rPr>
          <w:rFonts w:hint="eastAsia" w:ascii="仿宋_GB2312" w:hAnsi="仿宋_GB2312" w:eastAsia="仿宋_GB2312" w:cs="仿宋_GB2312"/>
          <w:color w:val="auto"/>
          <w:kern w:val="0"/>
          <w:sz w:val="32"/>
          <w:szCs w:val="32"/>
          <w:highlight w:val="none"/>
          <w:lang w:val="en-US" w:eastAsia="zh-CN"/>
        </w:rPr>
        <w:t>84.7</w:t>
      </w:r>
      <w:r>
        <w:rPr>
          <w:rFonts w:hint="eastAsia" w:ascii="仿宋_GB2312" w:hAnsi="仿宋_GB2312" w:eastAsia="仿宋_GB2312" w:cs="仿宋_GB2312"/>
          <w:color w:val="auto"/>
          <w:kern w:val="0"/>
          <w:sz w:val="32"/>
          <w:szCs w:val="32"/>
          <w:highlight w:val="none"/>
        </w:rPr>
        <w:t>%；国防支出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%；教育支出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%；科学技术支出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%；文化体育与传媒支出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%；社会保障和就业支出</w:t>
      </w:r>
      <w:r>
        <w:rPr>
          <w:rFonts w:hint="eastAsia" w:ascii="仿宋_GB2312" w:hAnsi="仿宋_GB2312" w:eastAsia="仿宋_GB2312" w:cs="仿宋_GB2312"/>
          <w:color w:val="auto"/>
          <w:kern w:val="0"/>
          <w:sz w:val="32"/>
          <w:szCs w:val="32"/>
          <w:highlight w:val="none"/>
          <w:lang w:val="en-US" w:eastAsia="zh-CN"/>
        </w:rPr>
        <w:t>15.59</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5.3</w:t>
      </w:r>
      <w:r>
        <w:rPr>
          <w:rFonts w:hint="eastAsia" w:ascii="仿宋_GB2312" w:hAnsi="仿宋_GB2312" w:eastAsia="仿宋_GB2312" w:cs="仿宋_GB2312"/>
          <w:color w:val="auto"/>
          <w:kern w:val="0"/>
          <w:sz w:val="32"/>
          <w:szCs w:val="32"/>
          <w:highlight w:val="none"/>
        </w:rPr>
        <w:t>%；医疗卫生与计划生育支出</w:t>
      </w:r>
      <w:r>
        <w:rPr>
          <w:rFonts w:hint="eastAsia" w:ascii="仿宋_GB2312" w:hAnsi="仿宋_GB2312" w:eastAsia="仿宋_GB2312" w:cs="仿宋_GB2312"/>
          <w:color w:val="auto"/>
          <w:kern w:val="0"/>
          <w:sz w:val="32"/>
          <w:szCs w:val="32"/>
          <w:highlight w:val="none"/>
          <w:lang w:val="en-US" w:eastAsia="zh-CN"/>
        </w:rPr>
        <w:t>15.10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5.1</w:t>
      </w:r>
      <w:r>
        <w:rPr>
          <w:rFonts w:hint="eastAsia" w:ascii="仿宋_GB2312" w:hAnsi="仿宋_GB2312" w:eastAsia="仿宋_GB2312" w:cs="仿宋_GB2312"/>
          <w:color w:val="auto"/>
          <w:kern w:val="0"/>
          <w:sz w:val="32"/>
          <w:szCs w:val="32"/>
          <w:highlight w:val="none"/>
        </w:rPr>
        <w:t>%；农林水支出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%；住房保障支出</w:t>
      </w:r>
      <w:r>
        <w:rPr>
          <w:rFonts w:hint="eastAsia" w:ascii="仿宋_GB2312" w:hAnsi="仿宋_GB2312" w:eastAsia="仿宋_GB2312" w:cs="仿宋_GB2312"/>
          <w:color w:val="auto"/>
          <w:kern w:val="0"/>
          <w:sz w:val="32"/>
          <w:szCs w:val="32"/>
          <w:highlight w:val="none"/>
          <w:lang w:val="en-US" w:eastAsia="zh-CN"/>
        </w:rPr>
        <w:t>13.94</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4.9</w:t>
      </w:r>
      <w:r>
        <w:rPr>
          <w:rFonts w:hint="eastAsia" w:ascii="仿宋_GB2312" w:hAnsi="仿宋_GB2312" w:eastAsia="仿宋_GB2312" w:cs="仿宋_GB2312"/>
          <w:color w:val="auto"/>
          <w:kern w:val="0"/>
          <w:sz w:val="32"/>
          <w:szCs w:val="32"/>
          <w:highlight w:val="none"/>
        </w:rPr>
        <w:t>%；</w:t>
      </w:r>
    </w:p>
    <w:p>
      <w:pPr>
        <w:spacing w:line="580" w:lineRule="exact"/>
        <w:ind w:firstLine="640" w:firstLineChars="200"/>
        <w:outlineLvl w:val="0"/>
        <w:rPr>
          <w:rFonts w:hint="eastAsia" w:ascii="黑体" w:hAnsi="黑体" w:eastAsia="黑体"/>
          <w:color w:val="000000"/>
          <w:sz w:val="32"/>
          <w:szCs w:val="32"/>
        </w:rPr>
      </w:pPr>
      <w:r>
        <w:rPr>
          <w:rFonts w:hint="eastAsia" w:ascii="黑体" w:hAnsi="黑体" w:eastAsia="黑体"/>
          <w:color w:val="000000"/>
          <w:kern w:val="0"/>
          <w:sz w:val="32"/>
          <w:szCs w:val="32"/>
        </w:rPr>
        <w:t>六、一般公共预算基本支出预算情况说明</w:t>
      </w:r>
    </w:p>
    <w:p>
      <w:pPr>
        <w:widowControl/>
        <w:spacing w:line="580" w:lineRule="exact"/>
        <w:ind w:firstLine="622"/>
        <w:rPr>
          <w:rFonts w:hint="eastAsia" w:ascii="仿宋_GB2312" w:hAnsi="仿宋_GB2312" w:eastAsia="仿宋_GB2312" w:cs="仿宋_GB2312"/>
          <w:color w:val="000000"/>
          <w:kern w:val="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2019年一般公共预算基本支出</w:t>
      </w:r>
      <w:r>
        <w:rPr>
          <w:rFonts w:hint="eastAsia" w:ascii="仿宋_GB2312" w:hAnsi="仿宋_GB2312" w:eastAsia="仿宋_GB2312" w:cs="仿宋_GB2312"/>
          <w:color w:val="000000"/>
          <w:sz w:val="32"/>
          <w:szCs w:val="32"/>
          <w:lang w:val="en-US" w:eastAsia="zh-CN"/>
        </w:rPr>
        <w:t>291.43</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b/>
          <w:color w:val="000000"/>
          <w:spacing w:val="-1"/>
          <w:kern w:val="0"/>
          <w:sz w:val="32"/>
          <w:szCs w:val="32"/>
        </w:rPr>
        <w:t>人员经费</w:t>
      </w:r>
      <w:r>
        <w:rPr>
          <w:rFonts w:hint="eastAsia" w:ascii="仿宋_GB2312" w:hAnsi="仿宋_GB2312" w:eastAsia="仿宋_GB2312" w:cs="仿宋_GB2312"/>
          <w:b/>
          <w:color w:val="000000"/>
          <w:spacing w:val="-1"/>
          <w:kern w:val="0"/>
          <w:sz w:val="32"/>
          <w:szCs w:val="32"/>
          <w:highlight w:val="none"/>
          <w:lang w:val="en-US" w:eastAsia="zh-CN"/>
        </w:rPr>
        <w:t>206.43</w:t>
      </w:r>
      <w:r>
        <w:rPr>
          <w:rFonts w:hint="eastAsia" w:ascii="仿宋_GB2312" w:hAnsi="仿宋_GB2312" w:eastAsia="仿宋_GB2312" w:cs="仿宋_GB2312"/>
          <w:b/>
          <w:color w:val="000000"/>
          <w:sz w:val="32"/>
          <w:szCs w:val="32"/>
          <w:highlight w:val="none"/>
        </w:rPr>
        <w:t>万</w:t>
      </w:r>
      <w:r>
        <w:rPr>
          <w:rFonts w:hint="eastAsia" w:ascii="仿宋_GB2312" w:hAnsi="仿宋_GB2312" w:eastAsia="仿宋_GB2312" w:cs="仿宋_GB2312"/>
          <w:b/>
          <w:color w:val="000000"/>
          <w:sz w:val="32"/>
          <w:szCs w:val="32"/>
        </w:rPr>
        <w:t>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color w:val="000000"/>
          <w:kern w:val="0"/>
          <w:sz w:val="32"/>
          <w:szCs w:val="32"/>
        </w:rPr>
        <w:t>公用经费</w:t>
      </w:r>
      <w:r>
        <w:rPr>
          <w:rFonts w:hint="eastAsia" w:ascii="仿宋_GB2312" w:hAnsi="仿宋_GB2312" w:eastAsia="仿宋_GB2312" w:cs="仿宋_GB2312"/>
          <w:b/>
          <w:bCs/>
          <w:color w:val="000000"/>
          <w:kern w:val="0"/>
          <w:sz w:val="32"/>
          <w:szCs w:val="32"/>
          <w:highlight w:val="none"/>
          <w:lang w:val="en-US" w:eastAsia="zh-CN"/>
        </w:rPr>
        <w:t>85</w:t>
      </w:r>
      <w:r>
        <w:rPr>
          <w:rFonts w:hint="eastAsia" w:ascii="仿宋_GB2312" w:hAnsi="仿宋_GB2312" w:eastAsia="仿宋_GB2312" w:cs="仿宋_GB2312"/>
          <w:b/>
          <w:bCs/>
          <w:color w:val="000000"/>
          <w:kern w:val="0"/>
          <w:sz w:val="32"/>
          <w:szCs w:val="32"/>
        </w:rPr>
        <w:t>万元</w:t>
      </w:r>
      <w:r>
        <w:rPr>
          <w:rFonts w:hint="eastAsia" w:ascii="仿宋_GB2312" w:hAnsi="仿宋_GB2312" w:eastAsia="仿宋_GB2312" w:cs="仿宋_GB2312"/>
          <w:color w:val="000000"/>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580" w:lineRule="exact"/>
        <w:ind w:firstLine="640" w:firstLineChars="200"/>
        <w:outlineLvl w:val="0"/>
        <w:rPr>
          <w:rFonts w:hint="eastAsia" w:ascii="仿宋_GB2312" w:hAnsi="仿宋_GB2312" w:eastAsia="仿宋_GB2312" w:cs="仿宋_GB2312"/>
          <w:color w:val="000000"/>
          <w:sz w:val="32"/>
          <w:szCs w:val="32"/>
        </w:rPr>
      </w:pPr>
      <w:r>
        <w:rPr>
          <w:rFonts w:hint="eastAsia" w:ascii="黑体" w:hAnsi="黑体" w:eastAsia="黑体"/>
          <w:color w:val="000000"/>
          <w:kern w:val="0"/>
          <w:sz w:val="32"/>
          <w:szCs w:val="32"/>
        </w:rPr>
        <w:t>七、政府性基金预算支出预算情况说明</w:t>
      </w:r>
    </w:p>
    <w:p>
      <w:pPr>
        <w:spacing w:line="580" w:lineRule="exact"/>
        <w:ind w:firstLine="640" w:firstLineChars="200"/>
        <w:rPr>
          <w:rFonts w:hint="eastAsia" w:ascii="仿宋_GB2312" w:hAnsi="仿宋_GB2312" w:eastAsia="仿宋_GB2312" w:cs="仿宋_GB2312"/>
          <w:color w:val="000000"/>
          <w:sz w:val="32"/>
          <w:szCs w:val="32"/>
          <w:lang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rPr>
        <w:t>2019年政府性基金预算支出</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原因：</w:t>
      </w:r>
      <w:r>
        <w:rPr>
          <w:rFonts w:hint="eastAsia" w:ascii="仿宋_GB2312" w:hAnsi="仿宋_GB2312" w:eastAsia="仿宋_GB2312" w:cs="仿宋_GB2312"/>
          <w:color w:val="000000"/>
          <w:sz w:val="32"/>
          <w:szCs w:val="32"/>
        </w:rPr>
        <w:t>我单位2019年没有使用政府性基金预算拨款安排的支出</w:t>
      </w:r>
      <w:r>
        <w:rPr>
          <w:rFonts w:hint="eastAsia" w:ascii="仿宋_GB2312" w:hAnsi="仿宋_GB2312" w:eastAsia="仿宋_GB2312" w:cs="仿宋_GB2312"/>
          <w:color w:val="000000"/>
          <w:sz w:val="32"/>
          <w:szCs w:val="32"/>
          <w:lang w:eastAsia="zh-CN"/>
        </w:rPr>
        <w:t>。</w:t>
      </w:r>
    </w:p>
    <w:p>
      <w:pPr>
        <w:spacing w:line="580" w:lineRule="exact"/>
        <w:ind w:firstLine="640" w:firstLineChars="200"/>
        <w:rPr>
          <w:rFonts w:hint="eastAsia" w:ascii="黑体" w:hAnsi="黑体" w:eastAsia="黑体"/>
          <w:color w:val="000000"/>
          <w:kern w:val="0"/>
          <w:sz w:val="32"/>
          <w:szCs w:val="32"/>
        </w:rPr>
      </w:pPr>
      <w:r>
        <w:rPr>
          <w:rFonts w:hint="eastAsia" w:ascii="黑体" w:hAnsi="黑体" w:eastAsia="黑体"/>
          <w:color w:val="000000"/>
          <w:sz w:val="32"/>
          <w:szCs w:val="32"/>
        </w:rPr>
        <w:t>八、</w:t>
      </w:r>
      <w:r>
        <w:rPr>
          <w:rFonts w:hint="eastAsia" w:ascii="黑体" w:hAnsi="黑体" w:eastAsia="黑体"/>
          <w:color w:val="000000"/>
          <w:kern w:val="0"/>
          <w:sz w:val="32"/>
          <w:szCs w:val="32"/>
        </w:rPr>
        <w:t>国有资本经营预算支出预算情况说明</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rPr>
        <w:t>2019年国有资金经营预算支出</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原因：</w:t>
      </w:r>
      <w:r>
        <w:rPr>
          <w:rFonts w:hint="eastAsia" w:ascii="仿宋_GB2312" w:hAnsi="仿宋_GB2312" w:eastAsia="仿宋_GB2312" w:cs="仿宋_GB2312"/>
          <w:color w:val="000000"/>
          <w:sz w:val="32"/>
          <w:szCs w:val="32"/>
        </w:rPr>
        <w:t>我单位2019年没有使用国有资本经营预算拨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款安排的支出。</w:t>
      </w:r>
    </w:p>
    <w:p>
      <w:pPr>
        <w:spacing w:line="580" w:lineRule="exact"/>
        <w:ind w:firstLine="640" w:firstLineChars="200"/>
        <w:outlineLvl w:val="0"/>
        <w:rPr>
          <w:rFonts w:hint="eastAsia" w:ascii="黑体" w:hAnsi="黑体" w:eastAsia="黑体"/>
          <w:color w:val="000000"/>
          <w:sz w:val="32"/>
          <w:szCs w:val="32"/>
        </w:rPr>
      </w:pPr>
      <w:r>
        <w:rPr>
          <w:rFonts w:hint="eastAsia" w:ascii="黑体" w:hAnsi="黑体" w:eastAsia="黑体"/>
          <w:color w:val="000000"/>
          <w:kern w:val="0"/>
          <w:sz w:val="32"/>
          <w:szCs w:val="32"/>
        </w:rPr>
        <w:t>九、“三公”经费支出预算情况说明</w:t>
      </w:r>
    </w:p>
    <w:p>
      <w:pPr>
        <w:widowControl/>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2019年“三公”经费预算为</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万元。比 2018年预算数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highlight w:val="none"/>
          <w:lang w:val="en-US" w:eastAsia="zh-CN"/>
        </w:rPr>
        <w:t>45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 w:hAnsi="仿宋" w:eastAsia="仿宋" w:cs="仿宋"/>
          <w:sz w:val="32"/>
          <w:szCs w:val="32"/>
        </w:rPr>
        <w:t>主要原因是</w:t>
      </w:r>
      <w:r>
        <w:rPr>
          <w:rFonts w:hint="eastAsia" w:ascii="仿宋" w:hAnsi="仿宋" w:eastAsia="仿宋" w:cs="仿宋"/>
          <w:sz w:val="32"/>
          <w:szCs w:val="32"/>
          <w:lang w:eastAsia="zh-CN"/>
        </w:rPr>
        <w:t>公务活动增多用车次数增多</w:t>
      </w:r>
      <w:r>
        <w:rPr>
          <w:rFonts w:hint="eastAsia" w:ascii="仿宋_GB2312" w:hAnsi="仿宋_GB2312" w:eastAsia="仿宋_GB2312" w:cs="仿宋_GB2312"/>
          <w:color w:val="000000"/>
          <w:sz w:val="32"/>
          <w:szCs w:val="32"/>
        </w:rPr>
        <w:t>。</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具体支出情况如下：</w:t>
      </w:r>
    </w:p>
    <w:p>
      <w:pPr>
        <w:numPr>
          <w:ilvl w:val="0"/>
          <w:numId w:val="3"/>
        </w:numPr>
        <w:kinsoku w:val="0"/>
        <w:overflowPunct w:val="0"/>
        <w:autoSpaceDE w:val="0"/>
        <w:autoSpaceDN w:val="0"/>
        <w:adjustRightInd w:val="0"/>
        <w:snapToGrid w:val="0"/>
        <w:spacing w:line="580" w:lineRule="exact"/>
        <w:ind w:firstLine="636" w:firstLineChars="200"/>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因公出国（境）费</w:t>
      </w:r>
      <w:r>
        <w:rPr>
          <w:rFonts w:hint="eastAsia" w:ascii="楷体_GB2312" w:hAnsi="仿宋_GB2312" w:eastAsia="楷体_GB2312" w:cs="仿宋_GB2312"/>
          <w:color w:val="000000"/>
          <w:sz w:val="32"/>
          <w:szCs w:val="32"/>
        </w:rPr>
        <w:t xml:space="preserve"> </w:t>
      </w:r>
      <w:r>
        <w:rPr>
          <w:rFonts w:hint="eastAsia" w:ascii="楷体_GB2312" w:hAnsi="仿宋_GB2312" w:eastAsia="楷体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主要用于</w:t>
      </w:r>
      <w:r>
        <w:rPr>
          <w:rFonts w:hint="eastAsia" w:ascii="仿宋_GB2312" w:hAnsi="仿宋_GB2312" w:eastAsia="仿宋_GB2312" w:cs="仿宋_GB2312"/>
          <w:color w:val="000000"/>
          <w:kern w:val="0"/>
          <w:sz w:val="32"/>
          <w:szCs w:val="32"/>
          <w:lang w:val="en-US" w:eastAsia="zh-CN"/>
        </w:rPr>
        <w:t>因公出国（境）费用</w:t>
      </w:r>
      <w:r>
        <w:rPr>
          <w:rFonts w:hint="eastAsia" w:ascii="仿宋_GB2312" w:hAnsi="仿宋_GB2312" w:eastAsia="仿宋_GB2312" w:cs="仿宋_GB2312"/>
          <w:color w:val="000000"/>
          <w:sz w:val="32"/>
          <w:szCs w:val="32"/>
        </w:rPr>
        <w:t>。预算数比2018年减少</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sz w:val="32"/>
          <w:szCs w:val="32"/>
        </w:rPr>
        <w:t>万元，下降</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2019年无发生此项费用</w:t>
      </w:r>
      <w:r>
        <w:rPr>
          <w:rFonts w:hint="eastAsia" w:ascii="仿宋_GB2312" w:hAnsi="仿宋_GB2312" w:eastAsia="仿宋_GB2312" w:cs="仿宋_GB2312"/>
          <w:color w:val="000000"/>
          <w:sz w:val="32"/>
          <w:szCs w:val="32"/>
        </w:rPr>
        <w:t>。</w:t>
      </w:r>
    </w:p>
    <w:p>
      <w:pPr>
        <w:numPr>
          <w:ilvl w:val="0"/>
          <w:numId w:val="3"/>
        </w:numPr>
        <w:kinsoku w:val="0"/>
        <w:overflowPunct w:val="0"/>
        <w:autoSpaceDE w:val="0"/>
        <w:autoSpaceDN w:val="0"/>
        <w:adjustRightInd w:val="0"/>
        <w:snapToGrid w:val="0"/>
        <w:spacing w:line="580" w:lineRule="exact"/>
        <w:ind w:firstLine="636" w:firstLineChars="200"/>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公务用车购置及运行费</w:t>
      </w:r>
      <w:r>
        <w:rPr>
          <w:rFonts w:hint="eastAsia" w:ascii="楷体_GB2312" w:hAnsi="仿宋_GB2312" w:eastAsia="楷体_GB2312" w:cs="仿宋_GB2312"/>
          <w:color w:val="000000"/>
          <w:spacing w:val="-1"/>
          <w:kern w:val="0"/>
          <w:sz w:val="32"/>
          <w:szCs w:val="32"/>
          <w:highlight w:val="none"/>
          <w:lang w:val="en-US" w:eastAsia="zh-CN"/>
        </w:rPr>
        <w:t>2</w:t>
      </w:r>
      <w:r>
        <w:rPr>
          <w:rFonts w:hint="eastAsia" w:ascii="仿宋_GB2312" w:hAnsi="仿宋_GB2312" w:eastAsia="仿宋_GB2312" w:cs="仿宋_GB2312"/>
          <w:color w:val="000000"/>
          <w:kern w:val="0"/>
          <w:sz w:val="32"/>
          <w:szCs w:val="32"/>
        </w:rPr>
        <w:t>万</w:t>
      </w:r>
      <w:r>
        <w:rPr>
          <w:rFonts w:hint="eastAsia" w:ascii="仿宋_GB2312" w:hAnsi="仿宋_GB2312" w:eastAsia="仿宋_GB2312" w:cs="仿宋_GB2312"/>
          <w:color w:val="000000"/>
          <w:sz w:val="32"/>
          <w:szCs w:val="32"/>
        </w:rPr>
        <w:t>元。其中公务车辆购置费</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主要用于公务车购置，</w:t>
      </w:r>
      <w:r>
        <w:rPr>
          <w:rFonts w:hint="eastAsia" w:ascii="仿宋_GB2312" w:hAnsi="仿宋_GB2312" w:eastAsia="仿宋_GB2312" w:cs="仿宋_GB2312"/>
          <w:color w:val="000000"/>
          <w:sz w:val="32"/>
          <w:szCs w:val="32"/>
        </w:rPr>
        <w:t>比2018年减少</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kern w:val="0"/>
          <w:sz w:val="32"/>
          <w:szCs w:val="32"/>
        </w:rPr>
        <w:t>万元，较上年下降</w:t>
      </w:r>
      <w:bookmarkStart w:id="0" w:name="_GoBack"/>
      <w:bookmarkEnd w:id="0"/>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公务用车运行维护费</w:t>
      </w: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，主要用于</w:t>
      </w:r>
      <w:r>
        <w:rPr>
          <w:rFonts w:hint="eastAsia" w:ascii="仿宋_GB2312" w:hAnsi="仿宋_GB2312" w:eastAsia="仿宋_GB2312" w:cs="仿宋_GB2312"/>
          <w:color w:val="000000"/>
          <w:sz w:val="32"/>
          <w:szCs w:val="32"/>
          <w:lang w:val="en-US" w:eastAsia="zh-CN"/>
        </w:rPr>
        <w:t>车辆运行及维护</w:t>
      </w:r>
      <w:r>
        <w:rPr>
          <w:rFonts w:hint="eastAsia" w:ascii="仿宋_GB2312" w:hAnsi="仿宋_GB2312" w:eastAsia="仿宋_GB2312" w:cs="仿宋_GB2312"/>
          <w:color w:val="000000"/>
          <w:sz w:val="32"/>
          <w:szCs w:val="32"/>
        </w:rPr>
        <w:t>,比2018年增</w:t>
      </w:r>
      <w:r>
        <w:rPr>
          <w:rFonts w:hint="eastAsia" w:ascii="仿宋_GB2312" w:hAnsi="仿宋_GB2312" w:eastAsia="仿宋_GB2312" w:cs="仿宋_GB2312"/>
          <w:color w:val="000000"/>
          <w:sz w:val="32"/>
          <w:szCs w:val="32"/>
          <w:lang w:eastAsia="zh-CN"/>
        </w:rPr>
        <w:t>加</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kern w:val="0"/>
          <w:sz w:val="32"/>
          <w:szCs w:val="32"/>
        </w:rPr>
        <w:t>万元，较上年增长</w:t>
      </w:r>
      <w:r>
        <w:rPr>
          <w:rFonts w:hint="eastAsia" w:ascii="仿宋_GB2312" w:hAnsi="仿宋_GB2312" w:eastAsia="仿宋_GB2312" w:cs="仿宋_GB2312"/>
          <w:color w:val="000000"/>
          <w:kern w:val="0"/>
          <w:sz w:val="32"/>
          <w:szCs w:val="32"/>
          <w:lang w:val="en-US" w:eastAsia="zh-CN"/>
        </w:rPr>
        <w:t>50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主要原因：本年度党建业务增加</w:t>
      </w:r>
      <w:r>
        <w:rPr>
          <w:rFonts w:hint="eastAsia" w:ascii="仿宋_GB2312" w:hAnsi="仿宋_GB2312" w:eastAsia="仿宋_GB2312" w:cs="仿宋_GB2312"/>
          <w:color w:val="000000"/>
          <w:kern w:val="0"/>
          <w:sz w:val="32"/>
          <w:szCs w:val="32"/>
        </w:rPr>
        <w:t>。</w:t>
      </w:r>
    </w:p>
    <w:p>
      <w:pPr>
        <w:spacing w:line="580" w:lineRule="exact"/>
        <w:ind w:firstLine="636" w:firstLineChars="200"/>
        <w:outlineLvl w:val="0"/>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（三）公务接待费</w:t>
      </w:r>
      <w:r>
        <w:rPr>
          <w:rFonts w:hint="eastAsia" w:ascii="楷体_GB2312" w:hAnsi="仿宋_GB2312" w:eastAsia="楷体_GB2312" w:cs="仿宋_GB2312"/>
          <w:color w:val="000000"/>
          <w:spacing w:val="-1"/>
          <w:kern w:val="0"/>
          <w:sz w:val="32"/>
          <w:szCs w:val="32"/>
          <w:highlight w:val="none"/>
          <w:lang w:val="en-US" w:eastAsia="zh-CN"/>
        </w:rPr>
        <w:t>9</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val="en-US" w:eastAsia="zh-CN"/>
        </w:rPr>
        <w:t>公务招待</w:t>
      </w:r>
      <w:r>
        <w:rPr>
          <w:rFonts w:hint="eastAsia" w:ascii="仿宋_GB2312" w:hAnsi="仿宋_GB2312" w:eastAsia="仿宋_GB2312" w:cs="仿宋_GB2312"/>
          <w:color w:val="000000"/>
          <w:kern w:val="0"/>
          <w:sz w:val="32"/>
          <w:szCs w:val="32"/>
        </w:rPr>
        <w:t>，比2018年预算数</w:t>
      </w:r>
      <w:r>
        <w:rPr>
          <w:rFonts w:hint="eastAsia" w:ascii="仿宋_GB2312" w:hAnsi="仿宋_GB2312" w:eastAsia="仿宋_GB2312" w:cs="仿宋_GB2312"/>
          <w:color w:val="000000"/>
          <w:kern w:val="0"/>
          <w:sz w:val="32"/>
          <w:szCs w:val="32"/>
          <w:highlight w:val="none"/>
          <w:lang w:eastAsia="zh-CN"/>
        </w:rPr>
        <w:t>增加</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rPr>
        <w:t>万元，增长</w:t>
      </w:r>
      <w:r>
        <w:rPr>
          <w:rFonts w:hint="eastAsia" w:ascii="仿宋_GB2312" w:hAnsi="仿宋_GB2312" w:eastAsia="仿宋_GB2312" w:cs="仿宋_GB2312"/>
          <w:color w:val="000000"/>
          <w:kern w:val="0"/>
          <w:sz w:val="32"/>
          <w:szCs w:val="32"/>
          <w:highlight w:val="none"/>
          <w:lang w:val="en-US" w:eastAsia="zh-CN"/>
        </w:rPr>
        <w:t>44</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是工作量加大，视察考察活动增多</w:t>
      </w:r>
      <w:r>
        <w:rPr>
          <w:rFonts w:hint="eastAsia" w:ascii="仿宋_GB2312" w:hAnsi="仿宋_GB2312" w:eastAsia="仿宋_GB2312" w:cs="仿宋_GB2312"/>
          <w:color w:val="000000"/>
          <w:kern w:val="0"/>
          <w:sz w:val="32"/>
          <w:szCs w:val="32"/>
        </w:rPr>
        <w:t>。</w:t>
      </w:r>
    </w:p>
    <w:p>
      <w:pPr>
        <w:kinsoku w:val="0"/>
        <w:overflowPunct w:val="0"/>
        <w:autoSpaceDE w:val="0"/>
        <w:autoSpaceDN w:val="0"/>
        <w:adjustRightInd w:val="0"/>
        <w:snapToGrid w:val="0"/>
        <w:spacing w:line="580" w:lineRule="exact"/>
        <w:ind w:firstLine="640" w:firstLineChars="200"/>
        <w:outlineLvl w:val="0"/>
        <w:rPr>
          <w:rFonts w:hint="eastAsia" w:ascii="仿宋_GB2312" w:hAnsi="仿宋_GB2312" w:eastAsia="仿宋_GB2312" w:cs="仿宋_GB2312"/>
          <w:color w:val="000000"/>
          <w:sz w:val="32"/>
          <w:szCs w:val="32"/>
        </w:rPr>
      </w:pPr>
      <w:r>
        <w:rPr>
          <w:rFonts w:hint="eastAsia" w:ascii="黑体" w:hAnsi="黑体" w:eastAsia="黑体"/>
          <w:color w:val="000000"/>
          <w:kern w:val="0"/>
          <w:sz w:val="32"/>
          <w:szCs w:val="32"/>
        </w:rPr>
        <w:t xml:space="preserve"> </w:t>
      </w:r>
      <w:r>
        <w:rPr>
          <w:rFonts w:hint="eastAsia" w:ascii="黑体" w:hAnsi="黑体" w:eastAsia="黑体"/>
          <w:color w:val="000000"/>
          <w:spacing w:val="-1"/>
          <w:kern w:val="0"/>
          <w:sz w:val="32"/>
          <w:szCs w:val="32"/>
        </w:rPr>
        <w:t>十、其他重要事项的情况说明</w:t>
      </w:r>
    </w:p>
    <w:p>
      <w:pPr>
        <w:kinsoku w:val="0"/>
        <w:overflowPunct w:val="0"/>
        <w:autoSpaceDE w:val="0"/>
        <w:autoSpaceDN w:val="0"/>
        <w:adjustRightInd w:val="0"/>
        <w:snapToGrid w:val="0"/>
        <w:spacing w:line="580" w:lineRule="exact"/>
        <w:ind w:firstLine="640" w:firstLineChars="200"/>
        <w:outlineLvl w:val="0"/>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kern w:val="0"/>
          <w:sz w:val="32"/>
          <w:szCs w:val="32"/>
        </w:rPr>
        <w:t>（一）机关运行经费支出情况</w:t>
      </w:r>
    </w:p>
    <w:p>
      <w:pPr>
        <w:kinsoku w:val="0"/>
        <w:overflowPunct w:val="0"/>
        <w:autoSpaceDE w:val="0"/>
        <w:autoSpaceDN w:val="0"/>
        <w:adjustRightInd w:val="0"/>
        <w:snapToGrid w:val="0"/>
        <w:spacing w:line="58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2019年机关运行经费支出预算</w:t>
      </w:r>
      <w:r>
        <w:rPr>
          <w:rFonts w:hint="eastAsia" w:ascii="仿宋_GB2312" w:hAnsi="仿宋_GB2312" w:eastAsia="仿宋_GB2312" w:cs="仿宋_GB2312"/>
          <w:color w:val="000000"/>
          <w:sz w:val="32"/>
          <w:szCs w:val="32"/>
          <w:lang w:val="en-US" w:eastAsia="zh-CN"/>
        </w:rPr>
        <w:t>7.79</w:t>
      </w:r>
      <w:r>
        <w:rPr>
          <w:rFonts w:hint="eastAsia" w:ascii="仿宋_GB2312" w:hAnsi="仿宋_GB2312" w:eastAsia="仿宋_GB2312" w:cs="仿宋_GB2312"/>
          <w:color w:val="000000"/>
          <w:sz w:val="32"/>
          <w:szCs w:val="32"/>
        </w:rPr>
        <w:t>万元，主要保障机关机构正常运转及正常履职需要的办公费、差旅费等支出，</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lang w:val="en-US" w:eastAsia="zh-CN"/>
        </w:rPr>
        <w:t>年预算金额一致。</w:t>
      </w:r>
    </w:p>
    <w:p>
      <w:pPr>
        <w:kinsoku w:val="0"/>
        <w:overflowPunct w:val="0"/>
        <w:autoSpaceDE w:val="0"/>
        <w:autoSpaceDN w:val="0"/>
        <w:adjustRightInd w:val="0"/>
        <w:snapToGrid w:val="0"/>
        <w:spacing w:line="580" w:lineRule="exact"/>
        <w:ind w:firstLine="640" w:firstLineChars="200"/>
        <w:outlineLvl w:val="0"/>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（二）政府采购支出情况</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2019年政府采购预算安排</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color w:val="000000"/>
          <w:kern w:val="0"/>
          <w:sz w:val="32"/>
          <w:szCs w:val="32"/>
        </w:rPr>
        <w:t>政府采购货物预算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万元、政府采购工程预算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万元、政府采购服务预算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p>
    <w:p>
      <w:pPr>
        <w:numPr>
          <w:ilvl w:val="0"/>
          <w:numId w:val="3"/>
        </w:numPr>
        <w:kinsoku w:val="0"/>
        <w:overflowPunct w:val="0"/>
        <w:autoSpaceDE w:val="0"/>
        <w:autoSpaceDN w:val="0"/>
        <w:adjustRightInd w:val="0"/>
        <w:snapToGrid w:val="0"/>
        <w:spacing w:line="580" w:lineRule="exact"/>
        <w:ind w:left="0" w:leftChars="0" w:firstLine="640" w:firstLineChars="200"/>
        <w:outlineLvl w:val="0"/>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关于预算绩效管理工作开展情况说明</w:t>
      </w:r>
    </w:p>
    <w:p>
      <w:pPr>
        <w:numPr>
          <w:ilvl w:val="0"/>
          <w:numId w:val="0"/>
        </w:numPr>
        <w:kinsoku w:val="0"/>
        <w:overflowPunct w:val="0"/>
        <w:autoSpaceDE w:val="0"/>
        <w:autoSpaceDN w:val="0"/>
        <w:adjustRightInd w:val="0"/>
        <w:snapToGrid w:val="0"/>
        <w:spacing w:line="580" w:lineRule="exact"/>
        <w:ind w:firstLine="640" w:firstLineChars="200"/>
        <w:outlineLvl w:val="0"/>
        <w:rPr>
          <w:rFonts w:hint="eastAsia" w:ascii="楷体_GB2312" w:hAnsi="仿宋_GB2312" w:eastAsia="楷体_GB2312" w:cs="仿宋_GB2312"/>
          <w:bCs/>
          <w:color w:val="000000"/>
          <w:sz w:val="32"/>
          <w:szCs w:val="32"/>
          <w:lang w:val="en-US" w:eastAsia="zh-CN"/>
        </w:rPr>
      </w:pPr>
      <w:r>
        <w:rPr>
          <w:rFonts w:hint="eastAsia" w:ascii="楷体_GB2312" w:hAnsi="仿宋_GB2312" w:eastAsia="楷体_GB2312" w:cs="仿宋_GB2312"/>
          <w:bCs/>
          <w:color w:val="000000"/>
          <w:sz w:val="32"/>
          <w:szCs w:val="32"/>
          <w:lang w:val="en-US" w:eastAsia="zh-CN"/>
        </w:rPr>
        <w:t>本单位2019年未开展预算绩效工作</w:t>
      </w:r>
    </w:p>
    <w:p>
      <w:pPr>
        <w:numPr>
          <w:ilvl w:val="0"/>
          <w:numId w:val="0"/>
        </w:numPr>
        <w:kinsoku w:val="0"/>
        <w:overflowPunct w:val="0"/>
        <w:autoSpaceDE w:val="0"/>
        <w:autoSpaceDN w:val="0"/>
        <w:adjustRightInd w:val="0"/>
        <w:snapToGrid w:val="0"/>
        <w:spacing w:line="580" w:lineRule="exact"/>
        <w:ind w:leftChars="200"/>
        <w:outlineLvl w:val="0"/>
        <w:rPr>
          <w:rFonts w:hint="eastAsia" w:ascii="楷体_GB2312" w:hAnsi="仿宋_GB2312" w:eastAsia="楷体_GB2312" w:cs="仿宋_GB2312"/>
          <w:bCs/>
          <w:color w:val="000000"/>
          <w:sz w:val="32"/>
          <w:szCs w:val="32"/>
        </w:rPr>
      </w:pPr>
      <w:r>
        <w:rPr>
          <w:rFonts w:hint="eastAsia" w:ascii="楷体_GB2312" w:hAnsi="仿宋_GB2312" w:eastAsia="楷体_GB2312" w:cs="仿宋_GB2312"/>
          <w:bCs/>
          <w:color w:val="000000"/>
          <w:sz w:val="32"/>
          <w:szCs w:val="32"/>
        </w:rPr>
        <w:t>（四）国有资产占用情况</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2018年期末，</w:t>
      </w: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固定资产总额</w:t>
      </w:r>
      <w:r>
        <w:rPr>
          <w:rFonts w:hint="eastAsia" w:ascii="仿宋_GB2312" w:hAnsi="仿宋_GB2312" w:eastAsia="仿宋_GB2312" w:cs="仿宋_GB2312"/>
          <w:color w:val="000000"/>
          <w:kern w:val="0"/>
          <w:sz w:val="32"/>
          <w:szCs w:val="32"/>
          <w:highlight w:val="none"/>
          <w:lang w:val="en-US" w:eastAsia="zh-CN"/>
        </w:rPr>
        <w:t>28.84</w:t>
      </w:r>
      <w:r>
        <w:rPr>
          <w:rFonts w:hint="eastAsia" w:ascii="仿宋_GB2312" w:hAnsi="仿宋_GB2312" w:eastAsia="仿宋_GB2312" w:cs="仿宋_GB2312"/>
          <w:color w:val="000000"/>
          <w:kern w:val="0"/>
          <w:sz w:val="32"/>
          <w:szCs w:val="32"/>
          <w:highlight w:val="none"/>
        </w:rPr>
        <w:t>万</w:t>
      </w:r>
      <w:r>
        <w:rPr>
          <w:rFonts w:hint="eastAsia" w:ascii="仿宋_GB2312" w:hAnsi="仿宋_GB2312" w:eastAsia="仿宋_GB2312" w:cs="仿宋_GB2312"/>
          <w:color w:val="000000"/>
          <w:kern w:val="0"/>
          <w:sz w:val="32"/>
          <w:szCs w:val="32"/>
        </w:rPr>
        <w:t>元，其中，房屋建筑物</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万元，车辆</w:t>
      </w:r>
      <w:r>
        <w:rPr>
          <w:rFonts w:hint="eastAsia" w:ascii="仿宋_GB2312" w:hAnsi="仿宋_GB2312" w:eastAsia="仿宋_GB2312" w:cs="仿宋_GB2312"/>
          <w:color w:val="000000"/>
          <w:kern w:val="0"/>
          <w:sz w:val="32"/>
          <w:szCs w:val="32"/>
          <w:highlight w:val="none"/>
          <w:lang w:val="en-US" w:eastAsia="zh-CN"/>
        </w:rPr>
        <w:t>13.98</w:t>
      </w:r>
      <w:r>
        <w:rPr>
          <w:rFonts w:hint="eastAsia" w:ascii="仿宋_GB2312" w:hAnsi="仿宋_GB2312" w:eastAsia="仿宋_GB2312" w:cs="仿宋_GB2312"/>
          <w:color w:val="000000"/>
          <w:kern w:val="0"/>
          <w:sz w:val="32"/>
          <w:szCs w:val="32"/>
        </w:rPr>
        <w:t>万元。共有车辆</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辆，其中：一般公务用车</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辆，执法执勤车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辆；</w:t>
      </w:r>
      <w:r>
        <w:rPr>
          <w:rFonts w:hint="eastAsia" w:ascii="仿宋_GB2312" w:hAnsi="仿宋_GB2312" w:eastAsia="仿宋_GB2312" w:cs="仿宋_GB2312"/>
          <w:color w:val="000000"/>
          <w:sz w:val="32"/>
          <w:szCs w:val="32"/>
        </w:rPr>
        <w:t>单</w:t>
      </w:r>
      <w:r>
        <w:rPr>
          <w:rFonts w:hint="eastAsia" w:ascii="仿宋_GB2312" w:hAnsi="仿宋_GB2312" w:eastAsia="仿宋_GB2312" w:cs="仿宋_GB2312"/>
          <w:color w:val="000000"/>
          <w:sz w:val="32"/>
          <w:szCs w:val="32"/>
          <w:highlight w:val="none"/>
        </w:rPr>
        <w:t>价50</w:t>
      </w:r>
      <w:r>
        <w:rPr>
          <w:rFonts w:hint="eastAsia" w:ascii="仿宋_GB2312" w:hAnsi="仿宋_GB2312" w:eastAsia="仿宋_GB2312" w:cs="仿宋_GB2312"/>
          <w:color w:val="000000"/>
          <w:sz w:val="32"/>
          <w:szCs w:val="32"/>
        </w:rPr>
        <w:t>万元以上通用设备</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台（套），单位价值100万元以上专用设备</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台（套）</w:t>
      </w:r>
      <w:r>
        <w:rPr>
          <w:rFonts w:hint="eastAsia" w:ascii="仿宋_GB2312" w:hAnsi="宋体" w:eastAsia="仿宋_GB2312" w:cs="仿宋_GB2312"/>
          <w:color w:val="000000"/>
          <w:sz w:val="32"/>
          <w:szCs w:val="32"/>
        </w:rPr>
        <w:t>。</w:t>
      </w:r>
    </w:p>
    <w:p>
      <w:pPr>
        <w:widowControl/>
        <w:spacing w:line="580" w:lineRule="exact"/>
        <w:ind w:firstLine="640" w:firstLineChars="200"/>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（五）关于预算部门构成说明</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2019年我单位按照市财政预算公开要求，将所属预算单位全部纳入预算公开范围。</w:t>
      </w:r>
    </w:p>
    <w:p>
      <w:pPr>
        <w:kinsoku w:val="0"/>
        <w:overflowPunct w:val="0"/>
        <w:autoSpaceDE w:val="0"/>
        <w:autoSpaceDN w:val="0"/>
        <w:adjustRightInd w:val="0"/>
        <w:snapToGrid w:val="0"/>
        <w:spacing w:line="580" w:lineRule="exact"/>
        <w:ind w:firstLine="643" w:firstLineChars="200"/>
        <w:rPr>
          <w:rFonts w:hint="eastAsia" w:ascii="仿宋_GB2312" w:hAnsi="仿宋_GB2312" w:eastAsia="仿宋_GB2312" w:cs="仿宋_GB2312"/>
          <w:b/>
          <w:color w:val="000000"/>
          <w:kern w:val="0"/>
          <w:sz w:val="32"/>
          <w:szCs w:val="32"/>
        </w:rPr>
      </w:pPr>
    </w:p>
    <w:p>
      <w:pPr>
        <w:adjustRightInd w:val="0"/>
        <w:snapToGrid w:val="0"/>
        <w:spacing w:line="580" w:lineRule="exact"/>
        <w:jc w:val="center"/>
        <w:rPr>
          <w:rFonts w:hint="eastAsia" w:ascii="黑体" w:hAnsi="黑体" w:eastAsia="黑体"/>
          <w:bCs/>
          <w:color w:val="000000"/>
          <w:sz w:val="36"/>
          <w:szCs w:val="36"/>
        </w:rPr>
      </w:pPr>
      <w:r>
        <w:rPr>
          <w:rFonts w:hint="eastAsia" w:ascii="黑体" w:hAnsi="黑体" w:eastAsia="黑体"/>
          <w:bCs/>
          <w:color w:val="000000"/>
          <w:sz w:val="36"/>
          <w:szCs w:val="36"/>
        </w:rPr>
        <w:t>第三部分  名词解释</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一、财政拨款收入：是指市级财政当年拨付的资金。</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二、事业收入：是指事业单位开展专业活动及辅助活动所取 得的收入。</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宋体" w:eastAsia="仿宋_GB2312" w:cs="Courier New"/>
          <w:color w:val="000000"/>
          <w:sz w:val="32"/>
          <w:szCs w:val="32"/>
        </w:rPr>
        <w:t>七、机关运行经费：是指为保障行政</w:t>
      </w:r>
      <w:r>
        <w:rPr>
          <w:rFonts w:hint="eastAsia" w:ascii="仿宋_GB2312" w:hAnsi="仿宋_GB2312" w:eastAsia="仿宋_GB2312" w:cs="仿宋_GB2312"/>
          <w:color w:val="000000"/>
          <w:sz w:val="32"/>
          <w:szCs w:val="32"/>
        </w:rPr>
        <w:t>机构正常运转及正常履职需要的办公费、水电费、日常维修、物业费、维修费、差旅费、</w:t>
      </w:r>
      <w:r>
        <w:rPr>
          <w:rFonts w:hint="eastAsia" w:ascii="仿宋_GB2312" w:hAnsi="宋体" w:eastAsia="仿宋_GB2312" w:cs="Courier New"/>
          <w:color w:val="000000"/>
          <w:sz w:val="32"/>
          <w:szCs w:val="32"/>
        </w:rPr>
        <w:t>公务用车运行维护费以及其他费用</w:t>
      </w:r>
      <w:r>
        <w:rPr>
          <w:rFonts w:hint="eastAsia" w:ascii="仿宋_GB2312" w:hAnsi="仿宋_GB2312" w:eastAsia="仿宋_GB2312" w:cs="仿宋_GB2312"/>
          <w:color w:val="000000"/>
          <w:sz w:val="32"/>
          <w:szCs w:val="32"/>
        </w:rPr>
        <w:t>等支出。</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八、其他（专业性较强的需向社会做出说明的名词）</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adjustRightInd w:val="0"/>
        <w:snapToGri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eastAsia="zh-CN"/>
        </w:rPr>
        <w:t>中国共产党洛阳市老城区委员会组织部</w:t>
      </w:r>
      <w:r>
        <w:rPr>
          <w:rFonts w:hint="eastAsia" w:ascii="仿宋_GB2312" w:hAnsi="仿宋_GB2312" w:eastAsia="仿宋_GB2312" w:cs="仿宋_GB2312"/>
          <w:color w:val="000000"/>
          <w:sz w:val="32"/>
          <w:szCs w:val="32"/>
        </w:rPr>
        <w:t>2019年度部门预算表</w:t>
      </w:r>
    </w:p>
    <w:p>
      <w:pPr>
        <w:adjustRightInd w:val="0"/>
        <w:snapToGrid w:val="0"/>
        <w:spacing w:line="580" w:lineRule="exact"/>
        <w:ind w:firstLine="640" w:firstLineChars="200"/>
        <w:rPr>
          <w:rFonts w:hint="eastAsia" w:ascii="仿宋_GB2312" w:hAnsi="仿宋_GB2312" w:eastAsia="仿宋_GB2312" w:cs="仿宋_GB2312"/>
          <w:color w:val="000000"/>
          <w:sz w:val="32"/>
          <w:szCs w:val="32"/>
        </w:rPr>
      </w:pPr>
    </w:p>
    <w:p>
      <w:pPr>
        <w:adjustRightInd w:val="0"/>
        <w:snapToGrid w:val="0"/>
        <w:spacing w:line="580" w:lineRule="exact"/>
        <w:ind w:firstLine="640" w:firstLineChars="200"/>
        <w:rPr>
          <w:rFonts w:hint="eastAsia" w:ascii="仿宋_GB2312" w:hAnsi="仿宋_GB2312" w:eastAsia="仿宋_GB2312" w:cs="仿宋_GB2312"/>
          <w:color w:val="000000"/>
          <w:sz w:val="32"/>
          <w:szCs w:val="32"/>
        </w:rPr>
      </w:pPr>
    </w:p>
    <w:p>
      <w:pPr>
        <w:adjustRightInd w:val="0"/>
        <w:snapToGrid w:val="0"/>
        <w:spacing w:line="580" w:lineRule="exact"/>
        <w:ind w:firstLine="640" w:firstLineChars="200"/>
        <w:jc w:val="center"/>
        <w:rPr>
          <w:rFonts w:hint="eastAsia"/>
          <w:color w:val="000000"/>
        </w:rPr>
      </w:pPr>
      <w:r>
        <w:rPr>
          <w:rFonts w:hint="eastAsia" w:ascii="仿宋" w:hAnsi="仿宋" w:eastAsia="仿宋" w:cs="仿宋"/>
          <w:sz w:val="32"/>
          <w:szCs w:val="32"/>
          <w:lang w:val="en-US" w:eastAsia="zh-CN"/>
        </w:rPr>
        <w:t xml:space="preserve">    2019年3月12日</w:t>
      </w:r>
      <w:r>
        <w:rPr>
          <w:rFonts w:hint="eastAsia" w:ascii="仿宋" w:hAnsi="仿宋" w:eastAsia="仿宋" w:cs="仿宋"/>
          <w:color w:val="000000"/>
          <w:sz w:val="32"/>
          <w:szCs w:val="32"/>
        </w:rPr>
        <w:br w:type="textWrapping"/>
      </w: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420" w:firstLineChars="200"/>
        <w:rPr>
          <w:rFonts w:hint="eastAsia" w:ascii="仿宋_GB2312" w:hAnsi="仿宋_GB2312" w:eastAsia="仿宋_GB2312" w:cs="仿宋_GB2312"/>
          <w:color w:val="000000"/>
          <w:highlight w:val="magenta"/>
        </w:rPr>
      </w:pPr>
    </w:p>
    <w:p>
      <w:pPr>
        <w:adjustRightInd w:val="0"/>
        <w:snapToGrid w:val="0"/>
        <w:spacing w:line="580" w:lineRule="exact"/>
        <w:ind w:firstLine="3927" w:firstLineChars="1870"/>
        <w:rPr>
          <w:rFonts w:hint="eastAsia"/>
          <w:color w:val="000000"/>
        </w:rPr>
      </w:pPr>
      <w:r>
        <w:rPr>
          <w:rFonts w:hint="eastAsia"/>
          <w:color w:val="000000"/>
        </w:rPr>
        <w:br w:type="textWrapping"/>
      </w: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p>
      <w:pPr>
        <w:adjustRightInd w:val="0"/>
        <w:snapToGrid w:val="0"/>
        <w:spacing w:line="580" w:lineRule="exact"/>
        <w:ind w:firstLine="3927" w:firstLineChars="1870"/>
        <w:rPr>
          <w:rFonts w:hint="eastAsia"/>
          <w:color w:val="000000"/>
        </w:rPr>
      </w:pPr>
    </w:p>
    <w:sectPr>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6299"/>
    <w:multiLevelType w:val="singleLevel"/>
    <w:tmpl w:val="18D46299"/>
    <w:lvl w:ilvl="0" w:tentative="0">
      <w:start w:val="1"/>
      <w:numFmt w:val="chineseCounting"/>
      <w:suff w:val="nothing"/>
      <w:lvlText w:val="（%1）"/>
      <w:lvlJc w:val="left"/>
      <w:rPr>
        <w:rFonts w:hint="eastAsia"/>
      </w:rPr>
    </w:lvl>
  </w:abstractNum>
  <w:abstractNum w:abstractNumId="1">
    <w:nsid w:val="5A4F2DAA"/>
    <w:multiLevelType w:val="singleLevel"/>
    <w:tmpl w:val="5A4F2DAA"/>
    <w:lvl w:ilvl="0" w:tentative="0">
      <w:start w:val="1"/>
      <w:numFmt w:val="chineseCounting"/>
      <w:suff w:val="nothing"/>
      <w:lvlText w:val="（%1）"/>
      <w:lvlJc w:val="left"/>
    </w:lvl>
  </w:abstractNum>
  <w:abstractNum w:abstractNumId="2">
    <w:nsid w:val="5A796DEC"/>
    <w:multiLevelType w:val="singleLevel"/>
    <w:tmpl w:val="5A796DEC"/>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C5239E"/>
    <w:rsid w:val="0C28037F"/>
    <w:rsid w:val="0EAD03C4"/>
    <w:rsid w:val="0F727CB8"/>
    <w:rsid w:val="10C764B6"/>
    <w:rsid w:val="13D66409"/>
    <w:rsid w:val="1900450D"/>
    <w:rsid w:val="1B940352"/>
    <w:rsid w:val="1C544E4A"/>
    <w:rsid w:val="20F12F4D"/>
    <w:rsid w:val="21CC528F"/>
    <w:rsid w:val="25956CD2"/>
    <w:rsid w:val="26E4289A"/>
    <w:rsid w:val="2C21533F"/>
    <w:rsid w:val="31E62F09"/>
    <w:rsid w:val="386D46EF"/>
    <w:rsid w:val="39F96B10"/>
    <w:rsid w:val="3DE6044D"/>
    <w:rsid w:val="45B42444"/>
    <w:rsid w:val="467813F2"/>
    <w:rsid w:val="473C7F4A"/>
    <w:rsid w:val="4E2A6A91"/>
    <w:rsid w:val="5324054A"/>
    <w:rsid w:val="53D6583B"/>
    <w:rsid w:val="54591131"/>
    <w:rsid w:val="554E2A3E"/>
    <w:rsid w:val="5B2E2C4A"/>
    <w:rsid w:val="5B32043E"/>
    <w:rsid w:val="5EF61D1B"/>
    <w:rsid w:val="5FA24C00"/>
    <w:rsid w:val="61E44CB8"/>
    <w:rsid w:val="64AF2F75"/>
    <w:rsid w:val="65385BDD"/>
    <w:rsid w:val="66C50712"/>
    <w:rsid w:val="69464A19"/>
    <w:rsid w:val="6C007E22"/>
    <w:rsid w:val="6D596BBB"/>
    <w:rsid w:val="6E187CAB"/>
    <w:rsid w:val="749D13A0"/>
    <w:rsid w:val="751F4C3B"/>
    <w:rsid w:val="76886AC4"/>
    <w:rsid w:val="7FDD5E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semiHidden/>
    <w:qFormat/>
    <w:uiPriority w:val="0"/>
    <w:rPr>
      <w:sz w:val="18"/>
      <w:szCs w:val="18"/>
    </w:rPr>
  </w:style>
  <w:style w:type="character" w:customStyle="1" w:styleId="7">
    <w:name w:val="页眉 Char"/>
    <w:basedOn w:val="4"/>
    <w:link w:val="3"/>
    <w:semiHidden/>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280</Words>
  <Characters>1601</Characters>
  <Lines>13</Lines>
  <Paragraphs>3</Paragraphs>
  <TotalTime>15</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2018-02-01T09:13:00Z</dcterms:created>
  <dc:creator>User</dc:creator>
  <cp:lastModifiedBy>Administrator</cp:lastModifiedBy>
  <dcterms:modified xsi:type="dcterms:W3CDTF">2021-06-17T11:54:03Z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EF2230F3FB2F4C4F99E0A3943CD2E9C7</vt:lpwstr>
  </property>
</Properties>
</file>