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  <w:lang w:eastAsia="zh-CN"/>
        </w:rPr>
        <w:t>洛阳市老城区司法局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20</w:t>
      </w:r>
      <w:r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  <w:t>20</w:t>
      </w:r>
      <w:r>
        <w:rPr>
          <w:rFonts w:hint="eastAsia" w:ascii="黑体" w:hAnsi="黑体" w:eastAsia="黑体"/>
          <w:color w:val="000000"/>
          <w:sz w:val="52"/>
          <w:szCs w:val="52"/>
        </w:rPr>
        <w:t>年度部门预算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  <w:lang w:eastAsia="zh-CN"/>
        </w:rPr>
        <w:t>二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○年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  <w:lang w:eastAsia="zh-CN"/>
        </w:rPr>
        <w:t>六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月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目</w:t>
      </w:r>
      <w:r>
        <w:rPr>
          <w:rFonts w:hint="eastAsia" w:ascii="方正小标宋简体" w:hAnsi="仿宋_GB2312" w:eastAsia="方正小标宋简体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  <w:t xml:space="preserve">      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第二部分 洛阳市老城区司法局2020年部门预算情况说明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老城区司法局2020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第一部分</w:t>
      </w:r>
    </w:p>
    <w:p>
      <w:pPr>
        <w:adjustRightInd w:val="0"/>
        <w:snapToGrid w:val="0"/>
        <w:spacing w:line="580" w:lineRule="exact"/>
        <w:jc w:val="center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老城区司法局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概况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机构设置情况</w:t>
      </w:r>
    </w:p>
    <w:p>
      <w:pPr>
        <w:widowControl/>
        <w:numPr>
          <w:numId w:val="0"/>
        </w:numPr>
        <w:ind w:firstLine="624" w:firstLineChars="200"/>
        <w:jc w:val="both"/>
        <w:outlineLvl w:val="1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老城区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司法局</w:t>
      </w:r>
      <w:r>
        <w:rPr>
          <w:rFonts w:hint="eastAsia" w:ascii="仿宋" w:hAnsi="仿宋" w:eastAsia="仿宋"/>
          <w:sz w:val="32"/>
          <w:szCs w:val="32"/>
        </w:rPr>
        <w:t>级别为正科级、经费形式为财政全供，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内设机构三个，包括：办公室、行政法规科和基层工作及社区矫正股（公共法律服务监督管理股）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,有两个下属事业单位，分别是：法律援助中心和公证处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（二）部门职责</w:t>
      </w:r>
    </w:p>
    <w:p>
      <w:pPr>
        <w:widowControl/>
        <w:ind w:firstLine="624" w:firstLineChars="200"/>
        <w:jc w:val="left"/>
        <w:outlineLvl w:val="1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司法局主要职能</w:t>
      </w:r>
      <w:r>
        <w:rPr>
          <w:rFonts w:hint="eastAsia" w:ascii="仿宋_GB2312" w:eastAsia="仿宋_GB2312"/>
          <w:sz w:val="32"/>
          <w:szCs w:val="32"/>
          <w:lang w:eastAsia="zh-CN"/>
        </w:rPr>
        <w:t>：加强对依法治区理论与实践的调查研究，统筹依法治区重大决策部署的贯彻落实，深入推进依法治区。加强法治政府建设，全面推进依法行政，强化督导落实机制；推进依法科学民主决策，加强合法性审查；深入推进服务型行政执法，全面落实行政执法责任制，推进严格规范公正文明执法。加强法治社会建设，深入推进法治宣传教育、法治创建和人民参与法治建设，完善公共法律服务体系。加强“放管服”改革措施的法制协调和推进工作。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黑体" w:hAnsi="仿宋_GB2312" w:eastAsia="黑体" w:cs="仿宋_GB2312"/>
          <w:color w:val="000000"/>
          <w:sz w:val="32"/>
          <w:szCs w:val="32"/>
        </w:rPr>
        <w:t>预算单位构成</w:t>
      </w:r>
    </w:p>
    <w:p>
      <w:pPr>
        <w:widowControl/>
        <w:numPr>
          <w:numId w:val="0"/>
        </w:numPr>
        <w:ind w:firstLine="624" w:firstLineChars="200"/>
        <w:jc w:val="both"/>
        <w:outlineLvl w:val="1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有两个下属事业单位，分别是：法律援助中心和公证处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580" w:lineRule="exact"/>
        <w:ind w:right="3569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第二部分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老城区司法局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val="en-US" w:eastAsia="zh-CN"/>
        </w:rPr>
        <w:t>2020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年度部门预算情况说明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与2018年相比，收、支总计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4.93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主要原因：主要原因是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业务经费减少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年收入合计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万元; 政府性基金预算收入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万元；国有资本经营预算收入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万元；其他收入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万元。 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年支出合计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74.57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%；项目支出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25.43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四、财政拨款收入支出预算总体情况说明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年一般公共预算收支预算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万元。与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年相比，一般公共预算收支预算减少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4.93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%，主要原因：业务经费减少。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五、一般公共预算支出预算情况说明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老城区司法局2019年一般公共预算支出年初预算为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万元。主要用于以下方面：一般公共服务支出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232.79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84.57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%；社会保障和就业支出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13.52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4.91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%；医疗卫生与计划生育支出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%；住房保障支出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13.89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5.04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205.25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196.63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基本工资、津贴补贴、奖金、绩效工资、机关事业单位基本养老保险缴费、医疗保险缴费、其他社会保障缴费、住房公积金、其他工资福利支出、离休费、退休费、其他对个人和家庭的补助支出；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8.62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印刷费、咨询费、手续费、水费、电费、邮电费、差旅费、因公出国（境）费、维修（护）费、租赁费、会议费、培训费、公务接待费、劳务费、福利费、公务用车运行维护费、其他交通费用、其他商品和服务支出、办公设备购置、专用设备购置、基础设施建设、大型修缮、信息网络及软件购置更新。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年没有使用政府性基金预算拨款安排的支出。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 比 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年预算数增加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 xml:space="preserve"> 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元。其中公务车辆购置费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公务用车运行维护费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公务用车的维护维修费、燃油费及保险费，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公务车辆使用年限增加，损耗相应有所增加，另外公务车运行需要有燃料供应，也有相应费用增加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58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（三）公务接待费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比201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年预算数减少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，原因：单位无公务接待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年机关运行经费支出预算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11.92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left="0" w:leftChars="0"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关于预算绩效管理工作开展情况说明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936" w:firstLineChars="300"/>
        <w:jc w:val="left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2020年预算项目均按要求编制了绩效目标，综合反映项目预期完成的数量、质量、时效、成本，预期达到的经济效益、社会效益、生态效益、可持续发展影响及服务对象满意度等情况。</w:t>
      </w:r>
    </w:p>
    <w:p>
      <w:pPr>
        <w:spacing w:line="580" w:lineRule="exact"/>
        <w:ind w:left="404" w:leftChars="200"/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105.54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其中，车辆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15.72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辆，其中：执法执勤车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spacing w:line="580" w:lineRule="exact"/>
        <w:ind w:firstLine="624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（五）关于预算部门构成说明</w:t>
      </w:r>
    </w:p>
    <w:p>
      <w:pPr>
        <w:adjustRightInd w:val="0"/>
        <w:snapToGrid w:val="0"/>
        <w:spacing w:line="580" w:lineRule="exact"/>
        <w:ind w:firstLine="624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年我单位按照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财政预算公开要求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，本部门预算收支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全部纳入预算公开范围。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2019年度部门预算表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highlight w:val="magent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  <w:r>
        <w:rPr>
          <w:rFonts w:hint="eastAsia"/>
          <w:color w:val="000000"/>
        </w:rPr>
        <w:br/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rPr>
          <w:rFonts w:hint="eastAsia" w:eastAsia="宋体"/>
          <w:lang w:val="en-US" w:eastAsia="zh-CN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531" w:bottom="1758" w:left="1531" w:header="851" w:footer="1191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singleLevel"/>
    <w:tmpl w:val="0000000A"/>
    <w:lvl w:ilvl="0" w:tentative="1">
      <w:start w:val="1"/>
      <w:numFmt w:val="chineseCounting"/>
      <w:suff w:val="nothing"/>
      <w:lvlText w:val="（%1）"/>
      <w:lvlJc w:val="left"/>
    </w:lvl>
  </w:abstractNum>
  <w:abstractNum w:abstractNumId="11">
    <w:nsid w:val="0000000B"/>
    <w:multiLevelType w:val="singleLevel"/>
    <w:tmpl w:val="0000000B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0000000C"/>
    <w:multiLevelType w:val="singleLevel"/>
    <w:tmpl w:val="0000000C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1"/>
  </w:num>
  <w:num w:numId="2">
    <w:abstractNumId w:val="12"/>
  </w:num>
  <w:num w:numId="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2019-12-08T05:14:00Z</dcterms:created>
  <dc:creator>Administrator</dc:creator>
  <dcterms:modified xsi:type="dcterms:W3CDTF">2021-06-06T19:16:01Z</dcterms:modified>
  <dc:title>鸢菲鱼跃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