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94" w:lineRule="exact"/>
        <w:ind w:right="6"/>
        <w:jc w:val="center"/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</w:pPr>
    </w:p>
    <w:p>
      <w:pPr>
        <w:spacing w:after="0" w:line="594" w:lineRule="exact"/>
        <w:ind w:right="6"/>
        <w:jc w:val="center"/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</w:pPr>
    </w:p>
    <w:p>
      <w:pPr>
        <w:spacing w:after="0" w:line="594" w:lineRule="exact"/>
        <w:ind w:right="6"/>
        <w:jc w:val="center"/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</w:pPr>
    </w:p>
    <w:p>
      <w:pPr>
        <w:spacing w:after="0" w:line="594" w:lineRule="exact"/>
        <w:ind w:right="6"/>
        <w:jc w:val="center"/>
        <w:rPr>
          <w:color w:val="auto"/>
          <w:sz w:val="20"/>
          <w:szCs w:val="20"/>
        </w:rPr>
      </w:pPr>
      <w:r>
        <w:rPr>
          <w:rFonts w:hint="eastAsia" w:ascii="黑体" w:hAnsi="黑体" w:eastAsia="黑体"/>
          <w:color w:val="000000"/>
          <w:sz w:val="52"/>
          <w:szCs w:val="52"/>
          <w:lang w:val="en-US" w:eastAsia="zh-CN"/>
        </w:rPr>
        <w:t>洛阳市老城区总工会</w:t>
      </w:r>
    </w:p>
    <w:p>
      <w:pPr>
        <w:spacing w:after="0" w:line="334" w:lineRule="exact"/>
        <w:rPr>
          <w:color w:val="auto"/>
          <w:sz w:val="24"/>
          <w:szCs w:val="24"/>
        </w:rPr>
      </w:pPr>
    </w:p>
    <w:p>
      <w:pPr>
        <w:spacing w:after="0" w:line="633" w:lineRule="exact"/>
        <w:ind w:right="6"/>
        <w:jc w:val="center"/>
        <w:rPr>
          <w:color w:val="auto"/>
          <w:sz w:val="20"/>
          <w:szCs w:val="20"/>
        </w:rPr>
      </w:pPr>
      <w:r>
        <w:rPr>
          <w:rFonts w:ascii="Times New Roman" w:hAnsi="Times New Roman" w:eastAsia="Times New Roman" w:cs="Times New Roman"/>
          <w:color w:val="auto"/>
          <w:sz w:val="52"/>
          <w:szCs w:val="52"/>
        </w:rPr>
        <w:t>202</w:t>
      </w:r>
      <w:r>
        <w:rPr>
          <w:rFonts w:hint="eastAsia" w:ascii="Times New Roman" w:hAnsi="Times New Roman" w:eastAsia="宋体" w:cs="Times New Roman"/>
          <w:color w:val="auto"/>
          <w:sz w:val="52"/>
          <w:szCs w:val="52"/>
          <w:lang w:val="en-US" w:eastAsia="zh-CN"/>
        </w:rPr>
        <w:t>0</w:t>
      </w:r>
      <w:r>
        <w:rPr>
          <w:rFonts w:ascii="黑体" w:hAnsi="黑体" w:eastAsia="黑体" w:cs="黑体"/>
          <w:color w:val="auto"/>
          <w:sz w:val="52"/>
          <w:szCs w:val="52"/>
        </w:rPr>
        <w:t>年</w:t>
      </w:r>
      <w:r>
        <w:rPr>
          <w:rFonts w:hint="eastAsia" w:ascii="黑体" w:hAnsi="黑体" w:eastAsia="黑体" w:cs="黑体"/>
          <w:color w:val="auto"/>
          <w:sz w:val="52"/>
          <w:szCs w:val="52"/>
          <w:lang w:eastAsia="zh-CN"/>
        </w:rPr>
        <w:t>度部门</w:t>
      </w:r>
      <w:r>
        <w:rPr>
          <w:rFonts w:ascii="黑体" w:hAnsi="黑体" w:eastAsia="黑体" w:cs="黑体"/>
          <w:color w:val="auto"/>
          <w:sz w:val="52"/>
          <w:szCs w:val="52"/>
        </w:rPr>
        <w:t>预算公开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44" w:lineRule="exact"/>
        <w:rPr>
          <w:color w:val="auto"/>
          <w:sz w:val="24"/>
          <w:szCs w:val="24"/>
        </w:rPr>
      </w:pPr>
    </w:p>
    <w:p>
      <w:pPr>
        <w:spacing w:after="0" w:line="639" w:lineRule="exact"/>
        <w:ind w:right="166"/>
        <w:jc w:val="center"/>
        <w:rPr>
          <w:rFonts w:ascii="Times New Roman" w:hAnsi="Times New Roman" w:eastAsia="Times New Roman" w:cs="Times New Roman"/>
          <w:color w:val="auto"/>
          <w:sz w:val="36"/>
          <w:szCs w:val="36"/>
        </w:rPr>
      </w:pPr>
      <w:r>
        <w:rPr>
          <w:rFonts w:ascii="Times New Roman" w:hAnsi="Times New Roman" w:eastAsia="Times New Roman" w:cs="Times New Roman"/>
          <w:color w:val="auto"/>
          <w:sz w:val="36"/>
          <w:szCs w:val="36"/>
        </w:rPr>
        <w:t xml:space="preserve">2020 </w:t>
      </w:r>
      <w:r>
        <w:rPr>
          <w:rFonts w:ascii="黑体" w:hAnsi="黑体" w:eastAsia="黑体" w:cs="黑体"/>
          <w:color w:val="auto"/>
          <w:sz w:val="36"/>
          <w:szCs w:val="36"/>
        </w:rPr>
        <w:t>年</w:t>
      </w:r>
      <w:r>
        <w:rPr>
          <w:rFonts w:ascii="Times New Roman" w:hAnsi="Times New Roman" w:eastAsia="Times New Roman" w:cs="Times New Roman"/>
          <w:color w:val="auto"/>
          <w:sz w:val="36"/>
          <w:szCs w:val="36"/>
        </w:rPr>
        <w:t xml:space="preserve"> 6 </w:t>
      </w:r>
      <w:r>
        <w:rPr>
          <w:rFonts w:ascii="黑体" w:hAnsi="黑体" w:eastAsia="黑体" w:cs="黑体"/>
          <w:color w:val="auto"/>
          <w:sz w:val="36"/>
          <w:szCs w:val="36"/>
        </w:rPr>
        <w:t>月</w:t>
      </w:r>
      <w:r>
        <w:rPr>
          <w:rFonts w:ascii="Times New Roman" w:hAnsi="Times New Roman" w:eastAsia="Times New Roman" w:cs="Times New Roman"/>
          <w:color w:val="auto"/>
          <w:sz w:val="36"/>
          <w:szCs w:val="36"/>
        </w:rPr>
        <w:t xml:space="preserve"> </w:t>
      </w:r>
    </w:p>
    <w:p>
      <w:pPr>
        <w:spacing w:after="0" w:line="639" w:lineRule="exact"/>
        <w:ind w:right="166"/>
        <w:jc w:val="center"/>
        <w:rPr>
          <w:rFonts w:ascii="Times New Roman" w:hAnsi="Times New Roman" w:eastAsia="Times New Roman" w:cs="Times New Roman"/>
          <w:color w:val="auto"/>
          <w:sz w:val="36"/>
          <w:szCs w:val="36"/>
        </w:rPr>
      </w:pPr>
    </w:p>
    <w:p>
      <w:pPr>
        <w:spacing w:after="0" w:line="639" w:lineRule="exact"/>
        <w:ind w:right="166"/>
        <w:jc w:val="center"/>
        <w:rPr>
          <w:rFonts w:ascii="Times New Roman" w:hAnsi="Times New Roman" w:eastAsia="Times New Roman" w:cs="Times New Roman"/>
          <w:color w:val="auto"/>
          <w:sz w:val="36"/>
          <w:szCs w:val="36"/>
        </w:rPr>
      </w:pPr>
    </w:p>
    <w:p>
      <w:pPr>
        <w:spacing w:after="0" w:line="639" w:lineRule="exact"/>
        <w:ind w:right="166"/>
        <w:jc w:val="center"/>
        <w:rPr>
          <w:rFonts w:ascii="Times New Roman" w:hAnsi="Times New Roman" w:eastAsia="Times New Roman" w:cs="Times New Roman"/>
          <w:color w:val="auto"/>
          <w:sz w:val="36"/>
          <w:szCs w:val="36"/>
        </w:rPr>
      </w:pPr>
    </w:p>
    <w:p>
      <w:pPr>
        <w:spacing w:after="0" w:line="639" w:lineRule="exact"/>
        <w:ind w:right="166"/>
        <w:jc w:val="center"/>
        <w:rPr>
          <w:rFonts w:ascii="Times New Roman" w:hAnsi="Times New Roman" w:eastAsia="Times New Roman" w:cs="Times New Roman"/>
          <w:color w:val="auto"/>
          <w:sz w:val="36"/>
          <w:szCs w:val="36"/>
        </w:rPr>
      </w:pPr>
    </w:p>
    <w:p>
      <w:pPr>
        <w:spacing w:after="0" w:line="639" w:lineRule="exact"/>
        <w:ind w:right="166"/>
        <w:jc w:val="center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56"/>
          <w:szCs w:val="56"/>
        </w:rPr>
        <w:t>目 录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44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 xml:space="preserve">第一部分 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黑体" w:hAnsi="黑体" w:eastAsia="黑体" w:cs="黑体"/>
          <w:color w:val="auto"/>
          <w:sz w:val="32"/>
          <w:szCs w:val="32"/>
        </w:rPr>
        <w:t>概况</w:t>
      </w:r>
    </w:p>
    <w:p>
      <w:pPr>
        <w:spacing w:after="0" w:line="263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color w:val="auto"/>
          <w:sz w:val="32"/>
          <w:szCs w:val="32"/>
        </w:rPr>
        <w:t>一、主要职能</w:t>
      </w:r>
    </w:p>
    <w:p>
      <w:pPr>
        <w:spacing w:after="0" w:line="257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color w:val="auto"/>
          <w:sz w:val="32"/>
          <w:szCs w:val="32"/>
        </w:rPr>
        <w:t>二、部门预算单位构成</w:t>
      </w:r>
    </w:p>
    <w:p>
      <w:pPr>
        <w:spacing w:after="0" w:line="249" w:lineRule="exact"/>
        <w:rPr>
          <w:color w:val="auto"/>
          <w:sz w:val="20"/>
          <w:szCs w:val="20"/>
        </w:rPr>
      </w:pPr>
    </w:p>
    <w:p>
      <w:pPr>
        <w:spacing w:after="0" w:line="378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1"/>
          <w:szCs w:val="31"/>
        </w:rPr>
        <w:t xml:space="preserve">第二部分 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>2020</w:t>
      </w:r>
      <w:r>
        <w:rPr>
          <w:rFonts w:ascii="黑体" w:hAnsi="黑体" w:eastAsia="黑体" w:cs="黑体"/>
          <w:color w:val="auto"/>
          <w:sz w:val="31"/>
          <w:szCs w:val="31"/>
        </w:rPr>
        <w:t>年预算情况说明</w:t>
      </w:r>
    </w:p>
    <w:p>
      <w:pPr>
        <w:spacing w:after="0" w:line="251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第三部分 名词解释</w:t>
      </w:r>
    </w:p>
    <w:p>
      <w:pPr>
        <w:spacing w:after="0" w:line="253" w:lineRule="exact"/>
        <w:rPr>
          <w:color w:val="auto"/>
          <w:sz w:val="20"/>
          <w:szCs w:val="20"/>
        </w:rPr>
      </w:pPr>
    </w:p>
    <w:p>
      <w:pPr>
        <w:spacing w:after="0" w:line="390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 xml:space="preserve">附件： 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2020</w:t>
      </w:r>
      <w:r>
        <w:rPr>
          <w:rFonts w:ascii="黑体" w:hAnsi="黑体" w:eastAsia="黑体" w:cs="黑体"/>
          <w:color w:val="auto"/>
          <w:sz w:val="32"/>
          <w:szCs w:val="32"/>
        </w:rPr>
        <w:t>年预算表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预算项目支出绩效目标表</w:t>
      </w: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58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right="6"/>
        <w:jc w:val="center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第一部分</w:t>
      </w:r>
    </w:p>
    <w:p>
      <w:pPr>
        <w:spacing w:after="0" w:line="257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right="6"/>
        <w:jc w:val="center"/>
        <w:rPr>
          <w:color w:val="auto"/>
          <w:sz w:val="20"/>
          <w:szCs w:val="20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黑体" w:hAnsi="黑体" w:eastAsia="黑体" w:cs="黑体"/>
          <w:color w:val="auto"/>
          <w:sz w:val="32"/>
          <w:szCs w:val="32"/>
        </w:rPr>
        <w:t>概况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黑体" w:hAnsi="黑体" w:eastAsia="黑体" w:cs="黑体"/>
          <w:color w:val="auto"/>
          <w:sz w:val="32"/>
          <w:szCs w:val="32"/>
        </w:rPr>
        <w:t>主要职能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33" w:lineRule="exact"/>
        <w:rPr>
          <w:color w:val="auto"/>
          <w:sz w:val="20"/>
          <w:szCs w:val="20"/>
        </w:rPr>
      </w:pP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580" w:lineRule="exact"/>
        <w:ind w:right="3569" w:firstLine="640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机构设置情况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399" w:lineRule="atLeast"/>
        <w:ind w:firstLine="960" w:firstLineChars="300"/>
        <w:jc w:val="left"/>
        <w:textAlignment w:val="auto"/>
        <w:rPr>
          <w:rFonts w:hint="eastAsia" w:ascii="宋体" w:hAnsi="宋体" w:cs="宋体"/>
          <w:b w:val="0"/>
          <w:i w:val="0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老城区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总工会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内设洛阳市老城区困难职工帮扶中心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个事业单位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580" w:lineRule="exact"/>
        <w:ind w:left="0" w:leftChars="0" w:right="3569" w:firstLine="640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部门职责</w:t>
      </w:r>
    </w:p>
    <w:p>
      <w:pPr>
        <w:shd w:val="solid" w:color="FFFFFF" w:fill="auto"/>
        <w:autoSpaceDN w:val="0"/>
        <w:spacing w:line="399" w:lineRule="atLeast"/>
        <w:ind w:firstLine="960" w:firstLineChars="300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1、根据党的基本理论、基本路线、基本纲领和工运方针，围绕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委、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政府中心工作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开展工会工作。</w:t>
      </w:r>
    </w:p>
    <w:p>
      <w:pPr>
        <w:widowControl/>
        <w:shd w:val="clear" w:color="auto" w:fill="FFFFFF"/>
        <w:spacing w:line="580" w:lineRule="atLeast"/>
        <w:ind w:firstLine="1049" w:firstLineChars="328"/>
        <w:rPr>
          <w:rFonts w:hint="eastAsia" w:ascii="仿宋" w:hAnsi="仿宋" w:eastAsia="仿宋" w:cs="仿宋"/>
          <w:b w:val="0"/>
          <w:bCs w:val="0"/>
          <w:i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依照法律和《中国工会章程》，组织和指导全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各级工会贯彻落实党的全心全意依靠工人阶级的根本指导方针，进一步突出和履行维护职工合法权益的职能。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对涉及职工合法权益的问题进行调查研究，向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委、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政府和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市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总工会反映职工群众的思想、愿望和要求，提出意见和建议；参与职工重大安全伤亡事故的调查处理。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为各级工会提供政策服务；监督检查《中国工会章程》的贯彻执行；研究指导工会自身改革和建设；指导各级工会组织开展以职工代表大会为基本制度的民主选举、民主决策、民主管理和民主监督工作，推动建立平等协商、集体合同制度和监督保证机制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协助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政府做好劳模的推荐工作；负责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全区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劳模的管理工作；负责五一劳动奖章、奖状获得者的推荐和管理工作。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6、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承办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委、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政府交办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sz w:val="32"/>
          <w:szCs w:val="32"/>
          <w:shd w:val="clear" w:color="auto" w:fill="FFFFFF"/>
        </w:rPr>
        <w:t>的其他事项。</w:t>
      </w:r>
    </w:p>
    <w:p>
      <w:pPr>
        <w:widowControl/>
        <w:shd w:val="clear" w:color="auto" w:fill="FFFFFF"/>
        <w:spacing w:line="580" w:lineRule="atLeast"/>
        <w:ind w:firstLine="1049" w:firstLineChars="328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ascii="黑体" w:hAnsi="黑体" w:eastAsia="黑体" w:cs="黑体"/>
          <w:color w:val="auto"/>
          <w:sz w:val="32"/>
          <w:szCs w:val="32"/>
        </w:rPr>
        <w:t>二、部门预算单位构成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580" w:lineRule="exact"/>
        <w:ind w:left="420" w:leftChars="200" w:right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洛阳市老城区总工会本级作为财政预算一级单位，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老城区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总工会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内设困难职工帮扶中心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个事业单位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共有在职职工8人，离退休人员4人。</w:t>
      </w:r>
    </w:p>
    <w:p>
      <w:pPr>
        <w:spacing w:after="0" w:line="366" w:lineRule="exact"/>
        <w:ind w:right="6"/>
        <w:jc w:val="both"/>
        <w:rPr>
          <w:rFonts w:ascii="黑体" w:hAnsi="黑体" w:eastAsia="黑体" w:cs="黑体"/>
          <w:color w:val="auto"/>
          <w:sz w:val="32"/>
          <w:szCs w:val="32"/>
        </w:rPr>
      </w:pPr>
    </w:p>
    <w:p>
      <w:pPr>
        <w:spacing w:after="0" w:line="366" w:lineRule="exact"/>
        <w:ind w:right="6"/>
        <w:jc w:val="both"/>
        <w:rPr>
          <w:rFonts w:ascii="黑体" w:hAnsi="黑体" w:eastAsia="黑体" w:cs="黑体"/>
          <w:color w:val="auto"/>
          <w:sz w:val="32"/>
          <w:szCs w:val="32"/>
        </w:rPr>
      </w:pPr>
    </w:p>
    <w:p>
      <w:pPr>
        <w:spacing w:after="0" w:line="366" w:lineRule="exact"/>
        <w:ind w:right="6"/>
        <w:jc w:val="center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第二部分</w:t>
      </w:r>
    </w:p>
    <w:p>
      <w:pPr>
        <w:spacing w:after="0" w:line="253" w:lineRule="exact"/>
        <w:rPr>
          <w:color w:val="auto"/>
          <w:sz w:val="20"/>
          <w:szCs w:val="20"/>
        </w:rPr>
      </w:pPr>
    </w:p>
    <w:p>
      <w:pPr>
        <w:spacing w:after="0" w:line="390" w:lineRule="exact"/>
        <w:ind w:right="6"/>
        <w:jc w:val="center"/>
        <w:rPr>
          <w:color w:val="auto"/>
          <w:sz w:val="20"/>
          <w:szCs w:val="20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洛阳市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2020</w:t>
      </w:r>
      <w:r>
        <w:rPr>
          <w:rFonts w:ascii="黑体" w:hAnsi="黑体" w:eastAsia="黑体" w:cs="黑体"/>
          <w:color w:val="auto"/>
          <w:sz w:val="32"/>
          <w:szCs w:val="32"/>
        </w:rPr>
        <w:t>年预算情况说明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388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一、收入支出预算总体情况说明</w:t>
      </w:r>
    </w:p>
    <w:p>
      <w:pPr>
        <w:spacing w:after="0" w:line="382" w:lineRule="exact"/>
        <w:rPr>
          <w:color w:val="auto"/>
          <w:sz w:val="20"/>
          <w:szCs w:val="20"/>
        </w:rPr>
      </w:pPr>
    </w:p>
    <w:p>
      <w:pPr>
        <w:spacing w:after="0" w:line="487" w:lineRule="exact"/>
        <w:ind w:left="360" w:right="366" w:firstLine="64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0"/>
          <w:szCs w:val="30"/>
        </w:rPr>
        <w:t xml:space="preserve"> 2020 </w:t>
      </w:r>
      <w:r>
        <w:rPr>
          <w:rFonts w:ascii="仿宋" w:hAnsi="仿宋" w:eastAsia="仿宋" w:cs="仿宋"/>
          <w:color w:val="auto"/>
          <w:sz w:val="30"/>
          <w:szCs w:val="30"/>
        </w:rPr>
        <w:t>年收入</w:t>
      </w:r>
      <w:r>
        <w:rPr>
          <w:rFonts w:hint="eastAsia" w:ascii="Times New Roman" w:hAnsi="Times New Roman" w:eastAsia="宋体" w:cs="Times New Roman"/>
          <w:color w:val="auto"/>
          <w:sz w:val="30"/>
          <w:szCs w:val="30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0"/>
          <w:szCs w:val="30"/>
        </w:rPr>
        <w:t>万元，支出总计</w:t>
      </w:r>
      <w:r>
        <w:rPr>
          <w:rFonts w:ascii="Times New Roman" w:hAnsi="Times New Roman" w:eastAsia="Times New Roman" w:cs="Times New Roman"/>
          <w:color w:val="auto"/>
          <w:sz w:val="30"/>
          <w:szCs w:val="30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30"/>
          <w:szCs w:val="30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0"/>
          <w:szCs w:val="30"/>
        </w:rPr>
        <w:t>万元，与</w:t>
      </w:r>
      <w:r>
        <w:rPr>
          <w:rFonts w:ascii="Times New Roman" w:hAnsi="Times New Roman" w:eastAsia="Times New Roman" w:cs="Times New Roman"/>
          <w:color w:val="auto"/>
          <w:sz w:val="30"/>
          <w:szCs w:val="30"/>
        </w:rPr>
        <w:t xml:space="preserve"> 2019 </w:t>
      </w:r>
      <w:r>
        <w:rPr>
          <w:rFonts w:ascii="仿宋" w:hAnsi="仿宋" w:eastAsia="仿宋" w:cs="仿宋"/>
          <w:color w:val="auto"/>
          <w:sz w:val="30"/>
          <w:szCs w:val="30"/>
        </w:rPr>
        <w:t>年相比，收、支总计各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增加19.82</w:t>
      </w:r>
      <w:r>
        <w:rPr>
          <w:rFonts w:ascii="仿宋" w:hAnsi="仿宋" w:eastAsia="仿宋" w:cs="仿宋"/>
          <w:color w:val="auto"/>
          <w:sz w:val="30"/>
          <w:szCs w:val="30"/>
        </w:rPr>
        <w:t>万元，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增长30%</w:t>
      </w:r>
      <w:r>
        <w:rPr>
          <w:rFonts w:ascii="仿宋" w:hAnsi="仿宋" w:eastAsia="仿宋" w:cs="仿宋"/>
          <w:color w:val="auto"/>
          <w:sz w:val="32"/>
          <w:szCs w:val="32"/>
        </w:rPr>
        <w:t>。主要原因：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2020年人员增加及工资上调。</w:t>
      </w:r>
    </w:p>
    <w:p>
      <w:pPr>
        <w:spacing w:after="0" w:line="487" w:lineRule="exact"/>
        <w:ind w:left="360" w:right="366" w:firstLine="641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spacing w:after="0" w:line="196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二、收入预算总体情况说明</w:t>
      </w:r>
    </w:p>
    <w:p>
      <w:pPr>
        <w:spacing w:after="0" w:line="190" w:lineRule="exact"/>
        <w:rPr>
          <w:color w:val="auto"/>
          <w:sz w:val="20"/>
          <w:szCs w:val="20"/>
        </w:rPr>
      </w:pP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2020 </w:t>
      </w:r>
      <w:r>
        <w:rPr>
          <w:rFonts w:ascii="仿宋" w:hAnsi="仿宋" w:eastAsia="仿宋" w:cs="仿宋"/>
          <w:color w:val="auto"/>
          <w:sz w:val="32"/>
          <w:szCs w:val="32"/>
        </w:rPr>
        <w:t>年收入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收入合</w:t>
      </w:r>
      <w:r>
        <w:rPr>
          <w:rFonts w:ascii="仿宋" w:hAnsi="仿宋" w:eastAsia="仿宋" w:cs="仿宋"/>
          <w:color w:val="auto"/>
          <w:sz w:val="32"/>
          <w:szCs w:val="32"/>
        </w:rPr>
        <w:t>计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2"/>
          <w:szCs w:val="32"/>
        </w:rPr>
        <w:t>万元，其中：一般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公共预算收入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政府性基金预算收入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万元；国有资本经营预算收入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万元；其他收入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580" w:lineRule="exact"/>
        <w:ind w:firstLine="64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after="0" w:line="146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三、支出预算总体情况说明</w:t>
      </w:r>
    </w:p>
    <w:p>
      <w:pPr>
        <w:spacing w:after="0" w:line="190" w:lineRule="exact"/>
        <w:rPr>
          <w:color w:val="auto"/>
          <w:sz w:val="20"/>
          <w:szCs w:val="20"/>
        </w:rPr>
      </w:pPr>
    </w:p>
    <w:p>
      <w:pPr>
        <w:spacing w:after="0" w:line="513" w:lineRule="exact"/>
        <w:ind w:left="360" w:right="366" w:firstLine="641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2020 </w:t>
      </w:r>
      <w:r>
        <w:rPr>
          <w:rFonts w:ascii="仿宋" w:hAnsi="仿宋" w:eastAsia="仿宋" w:cs="仿宋"/>
          <w:color w:val="auto"/>
          <w:sz w:val="32"/>
          <w:szCs w:val="32"/>
        </w:rPr>
        <w:t>年支出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合计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2"/>
          <w:szCs w:val="32"/>
        </w:rPr>
        <w:t>万元，其中：基本支出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83.38</w:t>
      </w:r>
      <w:r>
        <w:rPr>
          <w:rFonts w:ascii="仿宋" w:hAnsi="仿宋" w:eastAsia="仿宋" w:cs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97.66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%</w:t>
      </w:r>
      <w:r>
        <w:rPr>
          <w:rFonts w:ascii="仿宋" w:hAnsi="仿宋" w:eastAsia="仿宋" w:cs="仿宋"/>
          <w:color w:val="auto"/>
          <w:sz w:val="32"/>
          <w:szCs w:val="32"/>
        </w:rPr>
        <w:t>；项目支出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color w:val="auto"/>
          <w:sz w:val="32"/>
          <w:szCs w:val="32"/>
        </w:rPr>
        <w:t>万元，占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2.34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%</w:t>
      </w:r>
      <w:r>
        <w:rPr>
          <w:rFonts w:ascii="仿宋" w:hAnsi="仿宋" w:eastAsia="仿宋" w:cs="仿宋"/>
          <w:color w:val="auto"/>
          <w:sz w:val="32"/>
          <w:szCs w:val="32"/>
        </w:rPr>
        <w:t>。</w:t>
      </w:r>
    </w:p>
    <w:p>
      <w:pPr>
        <w:spacing w:after="0" w:line="513" w:lineRule="exact"/>
        <w:ind w:left="360" w:right="366" w:firstLine="641"/>
        <w:jc w:val="both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spacing w:after="0" w:line="366" w:lineRule="exact"/>
        <w:ind w:firstLine="960" w:firstLineChars="3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四、财政拨款收入支出预算总体情况说明</w:t>
      </w:r>
    </w:p>
    <w:p>
      <w:pPr>
        <w:spacing w:after="0" w:line="190" w:lineRule="exact"/>
        <w:rPr>
          <w:color w:val="auto"/>
          <w:sz w:val="20"/>
          <w:szCs w:val="20"/>
        </w:rPr>
      </w:pPr>
    </w:p>
    <w:p>
      <w:pPr>
        <w:spacing w:line="58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2020 </w:t>
      </w:r>
      <w:r>
        <w:rPr>
          <w:rFonts w:ascii="仿宋" w:hAnsi="仿宋" w:eastAsia="仿宋" w:cs="仿宋"/>
          <w:color w:val="auto"/>
          <w:sz w:val="32"/>
          <w:szCs w:val="32"/>
        </w:rPr>
        <w:t>年一般公共预算收支预算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85.38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auto"/>
          <w:sz w:val="32"/>
          <w:szCs w:val="32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与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2019 </w:t>
      </w:r>
      <w:r>
        <w:rPr>
          <w:rFonts w:ascii="仿宋" w:hAnsi="仿宋" w:eastAsia="仿宋" w:cs="仿宋"/>
          <w:color w:val="auto"/>
          <w:sz w:val="32"/>
          <w:szCs w:val="32"/>
        </w:rPr>
        <w:t>年相比，一般公共预算收支预算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增加19.82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增加30%。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2020年人员增加及工资上调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政府性基金收支增加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0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万元，增长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Arial" w:hAnsi="Arial" w:eastAsia="仿宋_GB2312" w:cs="Arial"/>
          <w:color w:val="000000"/>
          <w:sz w:val="32"/>
          <w:szCs w:val="32"/>
        </w:rPr>
        <w:t>。</w:t>
      </w:r>
      <w:r>
        <w:rPr>
          <w:rFonts w:hint="eastAsia" w:ascii="Arial" w:hAnsi="Arial" w:eastAsia="仿宋_GB2312" w:cs="Arial"/>
          <w:color w:val="000000"/>
          <w:sz w:val="32"/>
          <w:szCs w:val="32"/>
          <w:lang w:eastAsia="zh-CN"/>
        </w:rPr>
        <w:t>主要原因：</w:t>
      </w:r>
      <w:r>
        <w:rPr>
          <w:rFonts w:hint="eastAsia" w:ascii="Arial" w:hAnsi="Arial" w:eastAsia="仿宋_GB2312" w:cs="Arial"/>
          <w:color w:val="000000"/>
          <w:sz w:val="32"/>
          <w:szCs w:val="32"/>
          <w:lang w:val="en-US" w:eastAsia="zh-CN"/>
        </w:rPr>
        <w:t>2020年没有政府性基金。</w:t>
      </w:r>
    </w:p>
    <w:p>
      <w:pPr>
        <w:spacing w:after="0" w:line="390" w:lineRule="exact"/>
        <w:ind w:left="1000"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spacing w:after="0" w:line="148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五、一般公共预算支出预算情况说明</w:t>
      </w:r>
    </w:p>
    <w:p>
      <w:pPr>
        <w:spacing w:after="0" w:line="190" w:lineRule="exact"/>
        <w:rPr>
          <w:color w:val="auto"/>
          <w:sz w:val="20"/>
          <w:szCs w:val="20"/>
        </w:rPr>
      </w:pPr>
    </w:p>
    <w:p>
      <w:pPr>
        <w:spacing w:after="0" w:line="513" w:lineRule="exact"/>
        <w:ind w:left="360" w:right="366" w:firstLine="641"/>
        <w:jc w:val="both"/>
        <w:rPr>
          <w:rFonts w:hint="eastAsia" w:ascii="Times New Roman" w:hAnsi="Times New Roman" w:eastAsia="宋体" w:cs="Times New Roman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2020 </w:t>
      </w:r>
      <w:r>
        <w:rPr>
          <w:rFonts w:ascii="仿宋" w:hAnsi="仿宋" w:eastAsia="仿宋" w:cs="仿宋"/>
          <w:color w:val="auto"/>
          <w:sz w:val="31"/>
          <w:szCs w:val="31"/>
        </w:rPr>
        <w:t>年一般公共预算支出年初预算为</w:t>
      </w:r>
      <w:r>
        <w:rPr>
          <w:rFonts w:ascii="Times New Roman" w:hAnsi="Times New Roman" w:eastAsia="Times New Roman" w:cs="Times New Roman"/>
          <w:color w:val="auto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31"/>
          <w:szCs w:val="31"/>
          <w:lang w:val="en-US" w:eastAsia="zh-CN"/>
        </w:rPr>
        <w:t>85.38</w:t>
      </w:r>
      <w:r>
        <w:rPr>
          <w:rFonts w:ascii="仿宋" w:hAnsi="仿宋" w:eastAsia="仿宋" w:cs="仿宋"/>
          <w:color w:val="auto"/>
          <w:sz w:val="31"/>
          <w:szCs w:val="31"/>
        </w:rPr>
        <w:t>万元。主要用于以下方面：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一般公共服务支出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83.38</w:t>
      </w:r>
      <w:r>
        <w:rPr>
          <w:rFonts w:ascii="仿宋" w:hAnsi="仿宋" w:eastAsia="仿宋" w:cs="仿宋"/>
          <w:color w:val="auto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97.66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%</w:t>
      </w:r>
      <w:r>
        <w:rPr>
          <w:rFonts w:ascii="仿宋" w:hAnsi="仿宋" w:eastAsia="仿宋" w:cs="仿宋"/>
          <w:color w:val="auto"/>
          <w:sz w:val="32"/>
          <w:szCs w:val="32"/>
        </w:rPr>
        <w:t>；项目支出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color w:val="auto"/>
          <w:sz w:val="32"/>
          <w:szCs w:val="32"/>
        </w:rPr>
        <w:t>万元，占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val="en-US" w:eastAsia="zh-CN"/>
        </w:rPr>
        <w:t>2.34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%</w:t>
      </w:r>
      <w:r>
        <w:rPr>
          <w:rFonts w:hint="eastAsia" w:ascii="Times New Roman" w:hAnsi="Times New Roman" w:eastAsia="宋体" w:cs="Times New Roman"/>
          <w:color w:val="auto"/>
          <w:sz w:val="32"/>
          <w:szCs w:val="32"/>
          <w:lang w:eastAsia="zh-CN"/>
        </w:rPr>
        <w:t>。</w:t>
      </w:r>
    </w:p>
    <w:p>
      <w:pPr>
        <w:spacing w:after="0" w:line="513" w:lineRule="exact"/>
        <w:ind w:left="360" w:right="366" w:firstLine="641"/>
        <w:jc w:val="both"/>
        <w:rPr>
          <w:rFonts w:hint="eastAsia" w:ascii="Times New Roman" w:hAnsi="Times New Roman" w:eastAsia="宋体" w:cs="Times New Roman"/>
          <w:color w:val="auto"/>
          <w:sz w:val="32"/>
          <w:szCs w:val="32"/>
          <w:lang w:eastAsia="zh-CN"/>
        </w:rPr>
      </w:pPr>
    </w:p>
    <w:p>
      <w:pPr>
        <w:spacing w:after="0" w:line="366" w:lineRule="exact"/>
        <w:ind w:left="1000"/>
        <w:rPr>
          <w:rFonts w:ascii="仿宋" w:hAnsi="仿宋" w:eastAsia="仿宋" w:cs="仿宋"/>
          <w:color w:val="auto"/>
          <w:sz w:val="31"/>
          <w:szCs w:val="31"/>
        </w:rPr>
      </w:pPr>
      <w:r>
        <w:rPr>
          <w:rFonts w:ascii="黑体" w:hAnsi="黑体" w:eastAsia="黑体" w:cs="黑体"/>
          <w:color w:val="auto"/>
          <w:sz w:val="32"/>
          <w:szCs w:val="32"/>
        </w:rPr>
        <w:t>六、一般公共预算基本支出经济分类情况说明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老城区总工会2020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一般公共预算基本支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83.38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</w:t>
      </w:r>
      <w:r>
        <w:rPr>
          <w:rFonts w:hint="eastAsia" w:ascii="仿宋_GB2312" w:hAnsi="仿宋_GB2312" w:eastAsia="仿宋_GB2312" w:cs="仿宋_GB2312"/>
          <w:b/>
          <w:color w:val="auto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lang w:val="en-US" w:eastAsia="zh-CN"/>
        </w:rPr>
        <w:t>79.1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本工资、津贴补贴、奖金、绩效工资、机关事业单位基本养老保险缴费、职业年金缴费、医疗保险缴费、其他社会保障缴费、住房公积金、其他工资福利支出、离休费、退休费、其他对个人和家庭的补助支出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4.28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，主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要包括：办公费、印刷费、咨询费、手续费、水费、电费、邮电费、取暖费、物业管理费、差旅费、因公出国（境）费、维修（护）费、租赁费、会议费、培训费、公务接待费、专用材料费、专用燃料费、劳务费、委托业务费、福利费、公务用车运行维护费、其他交通费用、税金及附加费用、其他商品和服务支出、债务利息、办公设备购置、专用设备购置、基础设施建设、大型修缮、信息网络及软件购置更新、公务用车购置、其他资本性支出和其他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</w:p>
    <w:p>
      <w:pPr>
        <w:spacing w:after="0" w:line="390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七、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“</w:t>
      </w:r>
      <w:r>
        <w:rPr>
          <w:rFonts w:ascii="黑体" w:hAnsi="黑体" w:eastAsia="黑体" w:cs="黑体"/>
          <w:color w:val="auto"/>
          <w:sz w:val="32"/>
          <w:szCs w:val="32"/>
        </w:rPr>
        <w:t>三公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>”</w:t>
      </w:r>
      <w:r>
        <w:rPr>
          <w:rFonts w:ascii="黑体" w:hAnsi="黑体" w:eastAsia="黑体" w:cs="黑体"/>
          <w:color w:val="auto"/>
          <w:sz w:val="32"/>
          <w:szCs w:val="32"/>
        </w:rPr>
        <w:t>经费支出预算情况说明</w:t>
      </w:r>
    </w:p>
    <w:p>
      <w:pPr>
        <w:spacing w:after="0" w:line="172" w:lineRule="exact"/>
        <w:rPr>
          <w:color w:val="auto"/>
          <w:sz w:val="20"/>
          <w:szCs w:val="20"/>
        </w:rPr>
      </w:pPr>
    </w:p>
    <w:p>
      <w:pPr>
        <w:widowControl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老城区总工会2020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万元。 比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年预算数减少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36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：我单位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2020年没有“三公”经费支出。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36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元。其中公务车辆购置费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公务用车运行维护费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，比201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：我单位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2020年没有“三公”经费支出。</w:t>
      </w:r>
    </w:p>
    <w:p>
      <w:pPr>
        <w:spacing w:line="580" w:lineRule="exact"/>
        <w:ind w:firstLine="636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比201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年预算数减少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：我单位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2020年没有“三公”经费支出。</w:t>
      </w:r>
    </w:p>
    <w:p>
      <w:pPr>
        <w:spacing w:after="0" w:line="366" w:lineRule="exact"/>
        <w:ind w:firstLine="640" w:firstLineChars="2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八、政府性基金预算收支情况说明</w:t>
      </w:r>
    </w:p>
    <w:p>
      <w:pPr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我单位2020年没有使用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，所以本年度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政府性基金预算拨款安排的支出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firstLine="640" w:firstLineChars="2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九、国有资本经营预算支出预算情况说明</w:t>
      </w:r>
    </w:p>
    <w:p>
      <w:pPr>
        <w:spacing w:line="580" w:lineRule="exact"/>
        <w:ind w:firstLine="960" w:firstLineChars="3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年没有使用国有资本经营预算拨款安排的支出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所以本年度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after="0" w:line="209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十、其他重要事项的情况说明</w:t>
      </w:r>
    </w:p>
    <w:p>
      <w:pPr>
        <w:spacing w:after="0" w:line="220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b/>
          <w:bCs/>
          <w:color w:val="auto"/>
          <w:sz w:val="32"/>
          <w:szCs w:val="32"/>
        </w:rPr>
        <w:t>（一）机关运行经费支出情况</w:t>
      </w:r>
    </w:p>
    <w:p>
      <w:pPr>
        <w:spacing w:after="0" w:line="191" w:lineRule="exact"/>
        <w:rPr>
          <w:color w:val="auto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老城区总工会2020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年机关运行经费支出预算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万元，主要保障机关机构正常运转及正常履职需要的办公费、水电费、物业费、维修费、差旅费等支出，比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0.1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万元，增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长4.7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%，主要原因：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办公费的增加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spacing w:after="0" w:line="212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b/>
          <w:bCs/>
          <w:color w:val="auto"/>
          <w:sz w:val="32"/>
          <w:szCs w:val="32"/>
        </w:rPr>
        <w:t>（二）政府采购支出情况</w:t>
      </w:r>
    </w:p>
    <w:p>
      <w:pPr>
        <w:spacing w:after="0" w:line="191" w:lineRule="exact"/>
        <w:rPr>
          <w:color w:val="auto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color w:val="auto"/>
          <w:sz w:val="20"/>
          <w:szCs w:val="2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政府采购货物预算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万元、政府采购工程预算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万元、政府采购服务预算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spacing w:after="0" w:line="169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b/>
          <w:bCs/>
          <w:color w:val="auto"/>
          <w:sz w:val="32"/>
          <w:szCs w:val="32"/>
        </w:rPr>
        <w:t>（三）绩效目标设置情况</w:t>
      </w:r>
    </w:p>
    <w:p/>
    <w:p>
      <w:pPr>
        <w:spacing w:after="0" w:line="512" w:lineRule="exact"/>
        <w:ind w:left="360" w:right="366" w:firstLine="641"/>
        <w:jc w:val="both"/>
        <w:rPr>
          <w:color w:val="auto"/>
          <w:sz w:val="20"/>
          <w:szCs w:val="2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老城区总工会</w:t>
      </w:r>
      <w:r>
        <w:rPr>
          <w:rFonts w:ascii="Times New Roman" w:hAnsi="Times New Roman" w:eastAsia="Times New Roman" w:cs="Times New Roman"/>
          <w:color w:val="auto"/>
          <w:sz w:val="32"/>
          <w:szCs w:val="32"/>
        </w:rPr>
        <w:t xml:space="preserve"> 2020 </w:t>
      </w:r>
      <w:r>
        <w:rPr>
          <w:rFonts w:ascii="仿宋" w:hAnsi="仿宋" w:eastAsia="仿宋" w:cs="仿宋"/>
          <w:color w:val="auto"/>
          <w:sz w:val="32"/>
          <w:szCs w:val="32"/>
        </w:rPr>
        <w:t>年预算项目均按要求编制了绩效目标，综合反映项目预期完成的数量、质量、时效、成本，预期达到的经济效益、社会效益、生态效益、可持续发展影响及服务对象满意度等情况。</w:t>
      </w:r>
    </w:p>
    <w:p>
      <w:pPr>
        <w:spacing w:after="0" w:line="217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1000"/>
        <w:rPr>
          <w:color w:val="auto"/>
          <w:sz w:val="20"/>
          <w:szCs w:val="20"/>
        </w:rPr>
      </w:pPr>
      <w:r>
        <w:rPr>
          <w:rFonts w:ascii="仿宋" w:hAnsi="仿宋" w:eastAsia="仿宋" w:cs="仿宋"/>
          <w:b/>
          <w:bCs/>
          <w:color w:val="auto"/>
          <w:sz w:val="32"/>
          <w:szCs w:val="32"/>
        </w:rPr>
        <w:t>（四）国有资产占用情况</w:t>
      </w:r>
    </w:p>
    <w:p>
      <w:pPr>
        <w:spacing w:after="0" w:line="191" w:lineRule="exact"/>
        <w:rPr>
          <w:color w:val="auto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shd w:val="clear" w:color="auto" w:fill="FFFFFF"/>
        </w:rPr>
        <w:t>洛阳市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老城区总工会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万元，其中，房屋建筑物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sectPr>
          <w:pgSz w:w="11900" w:h="16838"/>
          <w:pgMar w:top="1440" w:right="1440" w:bottom="157" w:left="1440" w:header="0" w:footer="0" w:gutter="0"/>
          <w:cols w:equalWidth="0" w:num="1">
            <w:col w:w="9026"/>
          </w:cols>
        </w:sectPr>
      </w:pPr>
    </w:p>
    <w:p>
      <w:pPr>
        <w:spacing w:after="0" w:line="366" w:lineRule="exact"/>
        <w:ind w:firstLine="3840" w:firstLineChars="120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第三部分</w:t>
      </w:r>
    </w:p>
    <w:p>
      <w:pPr>
        <w:spacing w:after="0" w:line="257" w:lineRule="exact"/>
        <w:rPr>
          <w:color w:val="auto"/>
          <w:sz w:val="20"/>
          <w:szCs w:val="20"/>
        </w:rPr>
      </w:pPr>
    </w:p>
    <w:p>
      <w:pPr>
        <w:spacing w:after="0" w:line="366" w:lineRule="exact"/>
        <w:ind w:left="3880"/>
        <w:rPr>
          <w:color w:val="auto"/>
          <w:sz w:val="20"/>
          <w:szCs w:val="20"/>
        </w:rPr>
      </w:pPr>
      <w:r>
        <w:rPr>
          <w:rFonts w:ascii="黑体" w:hAnsi="黑体" w:eastAsia="黑体" w:cs="黑体"/>
          <w:color w:val="auto"/>
          <w:sz w:val="32"/>
          <w:szCs w:val="32"/>
        </w:rPr>
        <w:t>名词解释</w:t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13" w:lineRule="exact"/>
        <w:rPr>
          <w:color w:val="auto"/>
          <w:sz w:val="20"/>
          <w:szCs w:val="20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洛阳市老城区总工会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863736"/>
    <w:multiLevelType w:val="singleLevel"/>
    <w:tmpl w:val="AE86373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4F2DAA"/>
    <w:multiLevelType w:val="singleLevel"/>
    <w:tmpl w:val="5A4F2DAA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429B"/>
    <w:rsid w:val="006A500D"/>
    <w:rsid w:val="02845B6F"/>
    <w:rsid w:val="036318D6"/>
    <w:rsid w:val="04171A18"/>
    <w:rsid w:val="0710125B"/>
    <w:rsid w:val="09E12AA4"/>
    <w:rsid w:val="0A5C7178"/>
    <w:rsid w:val="0FD422B7"/>
    <w:rsid w:val="1086392D"/>
    <w:rsid w:val="10E37E35"/>
    <w:rsid w:val="13CB429B"/>
    <w:rsid w:val="17965F0B"/>
    <w:rsid w:val="19D01B19"/>
    <w:rsid w:val="1B504696"/>
    <w:rsid w:val="1C8D487E"/>
    <w:rsid w:val="1DF608D8"/>
    <w:rsid w:val="2BD90DED"/>
    <w:rsid w:val="339F3616"/>
    <w:rsid w:val="353434CB"/>
    <w:rsid w:val="3E461A0D"/>
    <w:rsid w:val="43C93F19"/>
    <w:rsid w:val="45C82D26"/>
    <w:rsid w:val="47FE1CC8"/>
    <w:rsid w:val="49B336AB"/>
    <w:rsid w:val="4C420697"/>
    <w:rsid w:val="4C9B45EB"/>
    <w:rsid w:val="4CF8481F"/>
    <w:rsid w:val="4FD3674A"/>
    <w:rsid w:val="53E77E95"/>
    <w:rsid w:val="58384948"/>
    <w:rsid w:val="5A8B6BA8"/>
    <w:rsid w:val="5BC72F74"/>
    <w:rsid w:val="5F4F7316"/>
    <w:rsid w:val="63E526E4"/>
    <w:rsid w:val="649E246C"/>
    <w:rsid w:val="65916DA1"/>
    <w:rsid w:val="6CE42855"/>
    <w:rsid w:val="79107B06"/>
    <w:rsid w:val="7B180FC4"/>
    <w:rsid w:val="7C560852"/>
    <w:rsid w:val="7CAA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2020-06-17T02:21:00Z</dcterms:created>
  <dc:creator>WPS_199063058</dc:creator>
  <cp:lastModifiedBy>lenovo</cp:lastModifiedBy>
  <cp:lastPrinted>2020-06-24T03:10:00Z</cp:lastPrinted>
  <dcterms:modified xsi:type="dcterms:W3CDTF">2021-06-06T05:54:48Z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