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eastAsia="长城小标宋体"/>
          <w:b/>
          <w:color w:val="000000"/>
          <w:lang w:val="en-US" w:eastAsia="zh-CN"/>
        </w:rPr>
        <w:t xml:space="preserve">  </w:t>
      </w:r>
      <w:r>
        <w:rPr>
          <w:rFonts w:hint="eastAsia" w:ascii="Times New Roman" w:eastAsia="长城小标宋体"/>
          <w:b/>
          <w:color w:val="000000"/>
        </w:rPr>
        <w:t xml:space="preserve"> </w:t>
      </w:r>
      <w:r>
        <w:rPr>
          <w:rFonts w:hint="eastAsia" w:ascii="Times New Roman" w:eastAsia="长城小标宋体"/>
          <w:b/>
          <w:color w:val="FFFFFF"/>
        </w:rPr>
        <w:t xml:space="preserve"> </w:t>
      </w:r>
      <w:r>
        <w:rPr>
          <w:rFonts w:hint="eastAsia" w:ascii="宋体" w:hAnsi="宋体" w:eastAsia="宋体" w:cs="宋体"/>
          <w:sz w:val="44"/>
          <w:szCs w:val="44"/>
          <w:lang w:eastAsia="zh-CN"/>
        </w:rPr>
        <w:t>老城区审计局结果公告</w:t>
      </w:r>
    </w:p>
    <w:p>
      <w:pPr>
        <w:pStyle w:val="2"/>
        <w:ind w:firstLine="2560" w:firstLineChars="800"/>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（二〇二三年</w:t>
      </w:r>
      <w:r>
        <w:rPr>
          <w:rFonts w:hint="eastAsia" w:ascii="宋体" w:hAnsi="宋体" w:eastAsia="宋体" w:cs="宋体"/>
          <w:sz w:val="32"/>
          <w:szCs w:val="32"/>
          <w:lang w:val="en-US" w:eastAsia="zh-CN"/>
        </w:rPr>
        <w:t>十二</w:t>
      </w:r>
      <w:r>
        <w:rPr>
          <w:rFonts w:hint="eastAsia" w:ascii="宋体" w:hAnsi="宋体" w:eastAsia="宋体" w:cs="宋体"/>
          <w:sz w:val="32"/>
          <w:szCs w:val="32"/>
          <w:lang w:eastAsia="zh-CN"/>
        </w:rPr>
        <w:t>月二十二日）</w:t>
      </w:r>
    </w:p>
    <w:p>
      <w:pPr>
        <w:pStyle w:val="2"/>
        <w:ind w:firstLine="3520" w:firstLineChars="11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2023年第3号</w:t>
      </w:r>
    </w:p>
    <w:p>
      <w:pPr>
        <w:adjustRightInd w:val="0"/>
        <w:rPr>
          <w:rFonts w:hint="eastAsia" w:ascii="Times New Roman" w:eastAsia="长城小标宋体"/>
          <w:b/>
          <w:color w:val="FFFFFF"/>
        </w:rPr>
      </w:pPr>
    </w:p>
    <w:p>
      <w:pPr>
        <w:pStyle w:val="2"/>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rPr>
        <w:t>老城区</w:t>
      </w:r>
      <w:r>
        <w:rPr>
          <w:rFonts w:hint="eastAsia" w:ascii="宋体" w:hAnsi="宋体" w:eastAsia="宋体" w:cs="宋体"/>
          <w:lang w:eastAsia="zh-CN"/>
        </w:rPr>
        <w:t>卫生健康委员会</w:t>
      </w:r>
      <w:r>
        <w:rPr>
          <w:rFonts w:hint="eastAsia" w:ascii="宋体" w:hAnsi="宋体" w:eastAsia="宋体" w:cs="宋体"/>
          <w:szCs w:val="32"/>
        </w:rPr>
        <w:t>2022年度预算执行和其他财政收支情况</w:t>
      </w:r>
      <w:r>
        <w:rPr>
          <w:rFonts w:hint="eastAsia" w:ascii="宋体" w:hAnsi="宋体" w:eastAsia="宋体" w:cs="宋体"/>
          <w:szCs w:val="32"/>
          <w:lang w:eastAsia="zh-CN"/>
        </w:rPr>
        <w:t>审计结果公告</w:t>
      </w:r>
    </w:p>
    <w:p>
      <w:pPr>
        <w:pStyle w:val="2"/>
        <w:rPr>
          <w:rFonts w:hint="eastAsia"/>
        </w:rPr>
      </w:pPr>
    </w:p>
    <w:p>
      <w:pPr>
        <w:adjustRightInd w:val="0"/>
        <w:ind w:firstLine="320" w:firstLineChars="100"/>
        <w:rPr>
          <w:szCs w:val="32"/>
        </w:rPr>
      </w:pPr>
      <w:r>
        <w:rPr>
          <w:rFonts w:eastAsia="楷体_GB2312"/>
          <w:szCs w:val="32"/>
        </w:rPr>
        <w:t xml:space="preserve">  </w:t>
      </w:r>
      <w:r>
        <w:t>根据《中华人民共和国审计法》第十八条规定，</w:t>
      </w:r>
      <w:r>
        <w:rPr>
          <w:rFonts w:hint="eastAsia"/>
        </w:rPr>
        <w:t>老城区</w:t>
      </w:r>
      <w:r>
        <w:t>审计局</w:t>
      </w:r>
      <w:r>
        <w:rPr>
          <w:szCs w:val="32"/>
        </w:rPr>
        <w:t>对</w:t>
      </w:r>
      <w:r>
        <w:rPr>
          <w:rFonts w:hint="eastAsia"/>
        </w:rPr>
        <w:t>区</w:t>
      </w:r>
      <w:r>
        <w:rPr>
          <w:rFonts w:hint="eastAsia"/>
          <w:lang w:eastAsia="zh-CN"/>
        </w:rPr>
        <w:t>卫生健康委员会</w:t>
      </w:r>
      <w:r>
        <w:rPr>
          <w:szCs w:val="32"/>
        </w:rPr>
        <w:t>2022年度部门预算执行和其他财政收支情况进行了审计，</w:t>
      </w:r>
      <w:r>
        <w:rPr>
          <w:rFonts w:hint="eastAsia" w:ascii="仿宋" w:hAnsi="仿宋" w:eastAsia="仿宋" w:cs="仿宋"/>
          <w:b w:val="0"/>
          <w:color w:val="auto"/>
          <w:kern w:val="2"/>
          <w:sz w:val="32"/>
          <w:szCs w:val="32"/>
          <w:highlight w:val="none"/>
          <w:lang w:val="en-US" w:eastAsia="zh-CN" w:bidi="ar-SA"/>
        </w:rPr>
        <w:t>现将审计结果公告如下：</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ascii="Times New Roman"/>
          <w:kern w:val="2"/>
        </w:rPr>
      </w:pPr>
      <w:r>
        <w:rPr>
          <w:rFonts w:ascii="Times New Roman"/>
          <w:kern w:val="2"/>
        </w:rPr>
        <w:t>一、基本情况</w:t>
      </w:r>
    </w:p>
    <w:p>
      <w:pPr>
        <w:pStyle w:val="2"/>
        <w:keepNext w:val="0"/>
        <w:keepLines w:val="0"/>
        <w:pageBreakBefore w:val="0"/>
        <w:widowControl w:val="0"/>
        <w:kinsoku/>
        <w:wordWrap/>
        <w:overflowPunct/>
        <w:topLinePunct w:val="0"/>
        <w:autoSpaceDE/>
        <w:autoSpaceDN/>
        <w:bidi w:val="0"/>
        <w:spacing w:line="608" w:lineRule="exact"/>
        <w:ind w:firstLine="640"/>
        <w:rPr>
          <w:rFonts w:hint="eastAsia"/>
          <w:lang w:val="en-US" w:eastAsia="zh-CN"/>
        </w:rPr>
      </w:pPr>
      <w:r>
        <w:rPr>
          <w:rFonts w:hint="eastAsia"/>
          <w:lang w:val="en-US" w:eastAsia="zh-CN"/>
        </w:rPr>
        <w:t>老城区卫生健康委员会为区政府工作部门，主要负责全区卫生健康工作，贯彻落实党中央关于卫生健康工作的方针政策和决策部署以及省委、市委、区委工作要求。统筹规划全区卫生健康资源配置，指导全区区域卫生健康规划编制和实施。组织落实疾病预防控制规划、免疫规划以及严重危害人民健康公共卫生问题的干预措施。负责全区卫生应急工作，组织指导突发公共卫生事件的预防控制、应急处置和各类突发公共事件的医疗卫生救援等。</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根据区卫生健康委员会财务报表反映，2022年单位收入预算1777.05万元。其中上年结转392.40万元，本年一般公共预算收入1384.65万元。支出预算1777.05万元，其中基本支出229.65万元（包括工资福利支出138.44万元，对个人和家庭的补助75.23万元，商品和服务支出15.98万元），项目支出1547.40万元（包括其他运转类6.4万元，特定目标类1541万元）。</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区卫健委2022年单位收入决算5648.53元，支出决算5648.53元（其中工资福利支出129.31元，商品和服务支出2724.29元，对个人和家庭的补助2417.35元，对企业补助377.58元）。</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ascii="Times New Roman"/>
          <w:kern w:val="2"/>
        </w:rPr>
      </w:pPr>
      <w:r>
        <w:rPr>
          <w:rFonts w:ascii="Times New Roman"/>
          <w:kern w:val="2"/>
        </w:rPr>
        <w:t>二、审计评价意见</w:t>
      </w:r>
    </w:p>
    <w:p>
      <w:pPr>
        <w:keepNext w:val="0"/>
        <w:keepLines w:val="0"/>
        <w:pageBreakBefore w:val="0"/>
        <w:widowControl w:val="0"/>
        <w:kinsoku/>
        <w:wordWrap/>
        <w:overflowPunct/>
        <w:topLinePunct w:val="0"/>
        <w:autoSpaceDE/>
        <w:bidi w:val="0"/>
        <w:spacing w:line="608" w:lineRule="exact"/>
        <w:ind w:firstLine="648" w:firstLineChars="200"/>
        <w:rPr>
          <w:rFonts w:hint="eastAsia"/>
          <w:spacing w:val="2"/>
        </w:rPr>
      </w:pPr>
      <w:r>
        <w:rPr>
          <w:rFonts w:hint="eastAsia"/>
          <w:spacing w:val="2"/>
          <w:lang w:eastAsia="zh-CN"/>
        </w:rPr>
        <w:t>审计结果表明：区卫健委</w:t>
      </w:r>
      <w:r>
        <w:rPr>
          <w:rFonts w:hint="eastAsia"/>
          <w:spacing w:val="2"/>
        </w:rPr>
        <w:t>提供的会计资料及其他相关材料真实地反映了单位财政财务收支状况，会计处理基本符合相关的会计制度，但也存在一些问题，需要进一步改正和规范。</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ascii="Times New Roman"/>
          <w:kern w:val="2"/>
        </w:rPr>
      </w:pPr>
      <w:r>
        <w:rPr>
          <w:rFonts w:ascii="Times New Roman"/>
          <w:kern w:val="2"/>
        </w:rPr>
        <w:t>三、审计发现的主要问题</w:t>
      </w:r>
    </w:p>
    <w:p>
      <w:pPr>
        <w:keepNext w:val="0"/>
        <w:keepLines w:val="0"/>
        <w:pageBreakBefore w:val="0"/>
        <w:widowControl w:val="0"/>
        <w:kinsoku/>
        <w:wordWrap/>
        <w:overflowPunct/>
        <w:topLinePunct w:val="0"/>
        <w:autoSpaceDE/>
        <w:autoSpaceDN/>
        <w:bidi w:val="0"/>
        <w:spacing w:line="608" w:lineRule="exact"/>
        <w:ind w:firstLine="651" w:firstLineChars="200"/>
        <w:rPr>
          <w:b/>
          <w:bCs/>
          <w:spacing w:val="2"/>
        </w:rPr>
      </w:pPr>
      <w:r>
        <w:rPr>
          <w:rFonts w:hint="eastAsia"/>
          <w:b/>
          <w:bCs/>
          <w:spacing w:val="2"/>
          <w:lang w:val="en-US" w:eastAsia="zh-CN"/>
        </w:rPr>
        <w:t>（一</w:t>
      </w:r>
      <w:bookmarkStart w:id="0" w:name="_GoBack"/>
      <w:bookmarkEnd w:id="0"/>
      <w:r>
        <w:rPr>
          <w:rFonts w:hint="eastAsia"/>
          <w:b/>
          <w:bCs/>
          <w:spacing w:val="2"/>
          <w:lang w:val="en-US" w:eastAsia="zh-CN"/>
        </w:rPr>
        <w:t>）</w:t>
      </w:r>
      <w:r>
        <w:rPr>
          <w:rFonts w:hint="eastAsia"/>
          <w:b/>
          <w:bCs/>
          <w:spacing w:val="2"/>
          <w:lang w:eastAsia="zh-CN"/>
        </w:rPr>
        <w:t>往来款项长期挂账</w:t>
      </w:r>
    </w:p>
    <w:p>
      <w:pPr>
        <w:keepNext w:val="0"/>
        <w:keepLines w:val="0"/>
        <w:pageBreakBefore w:val="0"/>
        <w:widowControl w:val="0"/>
        <w:kinsoku/>
        <w:wordWrap/>
        <w:overflowPunct/>
        <w:topLinePunct w:val="0"/>
        <w:autoSpaceDE/>
        <w:autoSpaceDN/>
        <w:bidi w:val="0"/>
        <w:spacing w:line="608" w:lineRule="exact"/>
        <w:ind w:firstLine="648" w:firstLineChars="200"/>
        <w:rPr>
          <w:rFonts w:hint="eastAsia"/>
          <w:spacing w:val="2"/>
          <w:lang w:eastAsia="zh-CN"/>
        </w:rPr>
      </w:pPr>
      <w:r>
        <w:rPr>
          <w:rFonts w:hint="eastAsia"/>
          <w:spacing w:val="2"/>
          <w:lang w:val="en-US" w:eastAsia="zh-CN"/>
        </w:rPr>
        <w:t>截至2022年12月31日，老城区卫健委其他应收款净额为102971.8元，其他应付款为354337.39元。其中其他应收款净额账龄均已超3年，其他应付款账龄超3年的金额为284337.39元。</w:t>
      </w:r>
    </w:p>
    <w:p>
      <w:pPr>
        <w:keepNext w:val="0"/>
        <w:keepLines w:val="0"/>
        <w:pageBreakBefore w:val="0"/>
        <w:widowControl w:val="0"/>
        <w:kinsoku/>
        <w:wordWrap/>
        <w:overflowPunct/>
        <w:topLinePunct w:val="0"/>
        <w:autoSpaceDE/>
        <w:autoSpaceDN/>
        <w:bidi w:val="0"/>
        <w:spacing w:line="608" w:lineRule="exact"/>
        <w:ind w:firstLine="651" w:firstLineChars="200"/>
        <w:rPr>
          <w:rFonts w:hint="eastAsia" w:eastAsia="仿宋_GB2312"/>
          <w:b/>
          <w:bCs/>
          <w:spacing w:val="2"/>
          <w:lang w:eastAsia="zh-CN"/>
        </w:rPr>
      </w:pPr>
      <w:r>
        <w:rPr>
          <w:rFonts w:hint="eastAsia"/>
          <w:b/>
          <w:bCs/>
          <w:spacing w:val="2"/>
          <w:lang w:eastAsia="zh-CN"/>
        </w:rPr>
        <w:t>（二）部分重大事项和大额资金支出或未遵守末位表态制或未经集体决策或事后上会研究</w:t>
      </w:r>
    </w:p>
    <w:p>
      <w:pPr>
        <w:pStyle w:val="2"/>
        <w:keepNext w:val="0"/>
        <w:keepLines w:val="0"/>
        <w:pageBreakBefore w:val="0"/>
        <w:widowControl w:val="0"/>
        <w:kinsoku/>
        <w:wordWrap/>
        <w:overflowPunct/>
        <w:topLinePunct w:val="0"/>
        <w:autoSpaceDE/>
        <w:autoSpaceDN/>
        <w:bidi w:val="0"/>
        <w:spacing w:line="608" w:lineRule="exact"/>
        <w:ind w:firstLine="648"/>
        <w:rPr>
          <w:rFonts w:hint="eastAsia" w:eastAsia="仿宋_GB2312"/>
          <w:spacing w:val="2"/>
          <w:lang w:val="en-US" w:eastAsia="zh-CN"/>
        </w:rPr>
      </w:pPr>
      <w:r>
        <w:rPr>
          <w:rFonts w:hint="eastAsia"/>
          <w:spacing w:val="2"/>
          <w:lang w:val="en-US" w:eastAsia="zh-CN"/>
        </w:rPr>
        <w:t>根据区卫健委提供的2022年会计凭证和“三重一大”会议记录等资料显示，存在研究大额支出时在会议最后发言环节，单位主要领导率先表态，部分重大事项未经集体决策，部分经济事项合同签订时间早于会议决策时间的情况。</w:t>
      </w:r>
    </w:p>
    <w:p>
      <w:pPr>
        <w:keepNext w:val="0"/>
        <w:keepLines w:val="0"/>
        <w:pageBreakBefore w:val="0"/>
        <w:widowControl w:val="0"/>
        <w:kinsoku/>
        <w:wordWrap/>
        <w:overflowPunct/>
        <w:topLinePunct w:val="0"/>
        <w:autoSpaceDE/>
        <w:autoSpaceDN/>
        <w:bidi w:val="0"/>
        <w:spacing w:line="608" w:lineRule="exact"/>
        <w:ind w:firstLine="651" w:firstLineChars="200"/>
        <w:rPr>
          <w:rFonts w:hint="eastAsia" w:eastAsia="仿宋_GB2312"/>
          <w:b/>
          <w:bCs/>
          <w:spacing w:val="2"/>
          <w:lang w:eastAsia="zh-CN"/>
        </w:rPr>
      </w:pPr>
      <w:r>
        <w:rPr>
          <w:rFonts w:hint="eastAsia"/>
          <w:b/>
          <w:bCs/>
          <w:spacing w:val="2"/>
          <w:lang w:val="en-US" w:eastAsia="zh-CN"/>
        </w:rPr>
        <w:t>（三）</w:t>
      </w:r>
      <w:r>
        <w:rPr>
          <w:rFonts w:hint="eastAsia"/>
          <w:b/>
          <w:bCs/>
          <w:spacing w:val="2"/>
          <w:lang w:eastAsia="zh-CN"/>
        </w:rPr>
        <w:t>应计未计固定资产</w:t>
      </w:r>
    </w:p>
    <w:p>
      <w:pPr>
        <w:keepNext w:val="0"/>
        <w:keepLines w:val="0"/>
        <w:pageBreakBefore w:val="0"/>
        <w:widowControl w:val="0"/>
        <w:kinsoku/>
        <w:wordWrap/>
        <w:overflowPunct/>
        <w:topLinePunct w:val="0"/>
        <w:autoSpaceDE/>
        <w:autoSpaceDN/>
        <w:bidi w:val="0"/>
        <w:spacing w:line="608" w:lineRule="exact"/>
        <w:ind w:firstLine="648" w:firstLineChars="200"/>
        <w:rPr>
          <w:rFonts w:hint="eastAsia"/>
          <w:spacing w:val="2"/>
          <w:lang w:val="en-US" w:eastAsia="zh-CN"/>
        </w:rPr>
      </w:pPr>
      <w:r>
        <w:rPr>
          <w:rFonts w:hint="eastAsia"/>
          <w:spacing w:val="2"/>
          <w:lang w:val="en-US" w:eastAsia="zh-CN"/>
        </w:rPr>
        <w:t>2022年存在应记未计固定资产的情况。</w:t>
      </w:r>
    </w:p>
    <w:p>
      <w:pPr>
        <w:keepNext w:val="0"/>
        <w:keepLines w:val="0"/>
        <w:pageBreakBefore w:val="0"/>
        <w:widowControl w:val="0"/>
        <w:kinsoku/>
        <w:wordWrap/>
        <w:overflowPunct/>
        <w:topLinePunct w:val="0"/>
        <w:autoSpaceDE/>
        <w:autoSpaceDN/>
        <w:bidi w:val="0"/>
        <w:spacing w:line="608" w:lineRule="exact"/>
        <w:ind w:firstLine="651" w:firstLineChars="200"/>
        <w:rPr>
          <w:rFonts w:hint="eastAsia" w:eastAsia="仿宋_GB2312"/>
          <w:b/>
          <w:bCs/>
          <w:spacing w:val="2"/>
          <w:lang w:eastAsia="zh-CN"/>
        </w:rPr>
      </w:pPr>
      <w:r>
        <w:rPr>
          <w:rFonts w:hint="eastAsia"/>
          <w:b/>
          <w:bCs/>
          <w:spacing w:val="2"/>
          <w:lang w:eastAsia="zh-CN"/>
        </w:rPr>
        <w:t>（四）</w:t>
      </w:r>
      <w:r>
        <w:rPr>
          <w:b/>
          <w:bCs/>
          <w:spacing w:val="2"/>
        </w:rPr>
        <w:t>部分</w:t>
      </w:r>
      <w:r>
        <w:rPr>
          <w:rFonts w:hint="eastAsia"/>
          <w:b/>
          <w:bCs/>
          <w:spacing w:val="2"/>
          <w:lang w:eastAsia="zh-CN"/>
        </w:rPr>
        <w:t>专项资金未拨付使用</w:t>
      </w:r>
    </w:p>
    <w:p>
      <w:pPr>
        <w:pStyle w:val="2"/>
        <w:keepNext w:val="0"/>
        <w:keepLines w:val="0"/>
        <w:pageBreakBefore w:val="0"/>
        <w:widowControl w:val="0"/>
        <w:kinsoku/>
        <w:wordWrap/>
        <w:overflowPunct/>
        <w:topLinePunct w:val="0"/>
        <w:autoSpaceDE/>
        <w:autoSpaceDN/>
        <w:bidi w:val="0"/>
        <w:spacing w:line="608" w:lineRule="exact"/>
        <w:ind w:firstLine="640"/>
        <w:rPr>
          <w:rFonts w:hint="eastAsia" w:ascii="Times New Roman" w:hAnsi="Times New Roman" w:eastAsia="仿宋_GB2312" w:cs="Times New Roman"/>
          <w:spacing w:val="2"/>
          <w:kern w:val="2"/>
          <w:sz w:val="32"/>
          <w:szCs w:val="24"/>
          <w:lang w:val="en-US" w:eastAsia="zh-CN" w:bidi="ar-SA"/>
        </w:rPr>
      </w:pPr>
      <w:r>
        <w:rPr>
          <w:rFonts w:hint="eastAsia" w:ascii="Times New Roman" w:hAnsi="Times New Roman" w:eastAsia="仿宋_GB2312" w:cs="Times New Roman"/>
          <w:spacing w:val="2"/>
          <w:kern w:val="2"/>
          <w:sz w:val="32"/>
          <w:szCs w:val="24"/>
          <w:lang w:val="en-US" w:eastAsia="zh-CN" w:bidi="ar-SA"/>
        </w:rPr>
        <w:t>老城区卫健</w:t>
      </w:r>
      <w:r>
        <w:rPr>
          <w:rFonts w:hint="eastAsia" w:ascii="Times New Roman" w:hAnsi="Times New Roman" w:cs="Times New Roman"/>
          <w:spacing w:val="2"/>
          <w:kern w:val="2"/>
          <w:sz w:val="32"/>
          <w:szCs w:val="24"/>
          <w:lang w:val="en-US" w:eastAsia="zh-CN" w:bidi="ar-SA"/>
        </w:rPr>
        <w:t>委</w:t>
      </w:r>
      <w:r>
        <w:rPr>
          <w:rFonts w:hint="eastAsia" w:ascii="Times New Roman" w:hAnsi="Times New Roman" w:eastAsia="仿宋_GB2312" w:cs="Times New Roman"/>
          <w:spacing w:val="2"/>
          <w:kern w:val="2"/>
          <w:sz w:val="32"/>
          <w:szCs w:val="24"/>
          <w:lang w:val="en-US" w:eastAsia="zh-CN" w:bidi="ar-SA"/>
        </w:rPr>
        <w:t>于2022年3月收到上级2022年提前下达医疗服务与保障能力提升（卫生健康人才培养培训）补助资金（洛财预〔2021〕652号）10800元，用于县乡村卫生人才能力提升培训，截至审计当日，</w:t>
      </w:r>
      <w:r>
        <w:rPr>
          <w:rFonts w:hint="eastAsia" w:ascii="Times New Roman" w:hAnsi="Times New Roman" w:cs="Times New Roman"/>
          <w:spacing w:val="2"/>
          <w:kern w:val="2"/>
          <w:sz w:val="32"/>
          <w:szCs w:val="24"/>
          <w:lang w:val="en-US" w:eastAsia="zh-CN" w:bidi="ar-SA"/>
        </w:rPr>
        <w:t>该</w:t>
      </w:r>
      <w:r>
        <w:rPr>
          <w:rFonts w:hint="eastAsia" w:ascii="Times New Roman" w:hAnsi="Times New Roman" w:eastAsia="仿宋_GB2312" w:cs="Times New Roman"/>
          <w:spacing w:val="2"/>
          <w:kern w:val="2"/>
          <w:sz w:val="32"/>
          <w:szCs w:val="24"/>
          <w:lang w:val="en-US" w:eastAsia="zh-CN" w:bidi="ar-SA"/>
        </w:rPr>
        <w:t>人才培训</w:t>
      </w:r>
      <w:r>
        <w:rPr>
          <w:rFonts w:hint="eastAsia" w:ascii="Times New Roman" w:hAnsi="Times New Roman" w:cs="Times New Roman"/>
          <w:spacing w:val="2"/>
          <w:kern w:val="2"/>
          <w:sz w:val="32"/>
          <w:szCs w:val="24"/>
          <w:lang w:val="en-US" w:eastAsia="zh-CN" w:bidi="ar-SA"/>
        </w:rPr>
        <w:t>未开展</w:t>
      </w:r>
      <w:r>
        <w:rPr>
          <w:rFonts w:hint="eastAsia" w:ascii="Times New Roman" w:hAnsi="Times New Roman" w:eastAsia="仿宋_GB2312" w:cs="Times New Roman"/>
          <w:spacing w:val="2"/>
          <w:kern w:val="2"/>
          <w:sz w:val="32"/>
          <w:szCs w:val="24"/>
          <w:lang w:val="en-US" w:eastAsia="zh-CN" w:bidi="ar-SA"/>
        </w:rPr>
        <w:t>，导致该资金处于闲置状态。</w:t>
      </w:r>
    </w:p>
    <w:p>
      <w:pPr>
        <w:pStyle w:val="2"/>
        <w:keepNext w:val="0"/>
        <w:keepLines w:val="0"/>
        <w:pageBreakBefore w:val="0"/>
        <w:widowControl w:val="0"/>
        <w:kinsoku/>
        <w:wordWrap/>
        <w:overflowPunct/>
        <w:topLinePunct w:val="0"/>
        <w:autoSpaceDE/>
        <w:autoSpaceDN/>
        <w:bidi w:val="0"/>
        <w:spacing w:line="608" w:lineRule="exact"/>
        <w:ind w:firstLine="640"/>
        <w:rPr>
          <w:rFonts w:hint="default" w:ascii="Times New Roman" w:hAnsi="Times New Roman" w:eastAsia="仿宋_GB2312" w:cs="Times New Roman"/>
          <w:b/>
          <w:bCs/>
          <w:spacing w:val="2"/>
          <w:kern w:val="2"/>
          <w:sz w:val="32"/>
          <w:szCs w:val="24"/>
          <w:lang w:val="en-US" w:eastAsia="zh-CN" w:bidi="ar-SA"/>
        </w:rPr>
      </w:pPr>
      <w:r>
        <w:rPr>
          <w:rFonts w:hint="eastAsia" w:cs="Times New Roman"/>
          <w:b/>
          <w:bCs/>
          <w:spacing w:val="2"/>
          <w:kern w:val="2"/>
          <w:sz w:val="32"/>
          <w:szCs w:val="24"/>
          <w:lang w:val="en-US" w:eastAsia="zh-CN" w:bidi="ar-SA"/>
        </w:rPr>
        <w:t>（五）</w:t>
      </w:r>
      <w:r>
        <w:rPr>
          <w:rFonts w:hint="eastAsia" w:ascii="Times New Roman" w:hAnsi="Times New Roman" w:eastAsia="仿宋_GB2312" w:cs="Times New Roman"/>
          <w:b/>
          <w:bCs/>
          <w:spacing w:val="2"/>
          <w:kern w:val="2"/>
          <w:sz w:val="32"/>
          <w:szCs w:val="24"/>
          <w:lang w:val="en-US" w:eastAsia="zh-CN" w:bidi="ar-SA"/>
        </w:rPr>
        <w:t>费用报销依据不充分</w:t>
      </w:r>
    </w:p>
    <w:p>
      <w:pPr>
        <w:pStyle w:val="2"/>
        <w:keepNext w:val="0"/>
        <w:keepLines w:val="0"/>
        <w:pageBreakBefore w:val="0"/>
        <w:widowControl w:val="0"/>
        <w:kinsoku/>
        <w:wordWrap/>
        <w:overflowPunct/>
        <w:topLinePunct w:val="0"/>
        <w:autoSpaceDE/>
        <w:autoSpaceDN/>
        <w:bidi w:val="0"/>
        <w:spacing w:line="608" w:lineRule="exact"/>
        <w:ind w:firstLine="640"/>
        <w:rPr>
          <w:rFonts w:hint="eastAsia" w:ascii="Times New Roman" w:hAnsi="Times New Roman" w:cs="Times New Roman"/>
          <w:spacing w:val="2"/>
          <w:kern w:val="2"/>
          <w:sz w:val="32"/>
          <w:szCs w:val="24"/>
          <w:lang w:val="en-US" w:eastAsia="zh-CN" w:bidi="ar-SA"/>
        </w:rPr>
      </w:pPr>
      <w:r>
        <w:rPr>
          <w:rFonts w:hint="default" w:ascii="Times New Roman" w:hAnsi="Times New Roman" w:eastAsia="仿宋_GB2312" w:cs="Times New Roman"/>
          <w:spacing w:val="2"/>
          <w:kern w:val="2"/>
          <w:sz w:val="32"/>
          <w:szCs w:val="24"/>
          <w:lang w:val="en-US" w:eastAsia="zh-CN" w:bidi="ar-SA"/>
        </w:rPr>
        <w:t>2022年2月支付借调及劳务派遣人员伙食补贴</w:t>
      </w:r>
      <w:r>
        <w:rPr>
          <w:rFonts w:hint="eastAsia" w:ascii="Times New Roman" w:hAnsi="Times New Roman" w:cs="Times New Roman"/>
          <w:spacing w:val="2"/>
          <w:kern w:val="2"/>
          <w:sz w:val="32"/>
          <w:szCs w:val="24"/>
          <w:lang w:val="en-US" w:eastAsia="zh-CN" w:bidi="ar-SA"/>
        </w:rPr>
        <w:t>；</w:t>
      </w:r>
      <w:r>
        <w:rPr>
          <w:rFonts w:hint="default" w:ascii="Times New Roman" w:hAnsi="Times New Roman" w:eastAsia="仿宋_GB2312" w:cs="Times New Roman"/>
          <w:spacing w:val="2"/>
          <w:kern w:val="2"/>
          <w:sz w:val="32"/>
          <w:szCs w:val="24"/>
          <w:lang w:val="en-US" w:eastAsia="zh-CN" w:bidi="ar-SA"/>
        </w:rPr>
        <w:t>6月付计生特殊家庭双节慰问费用；6月付七一走访慰问困难党员费用</w:t>
      </w:r>
      <w:r>
        <w:rPr>
          <w:rFonts w:hint="eastAsia" w:ascii="Times New Roman" w:hAnsi="Times New Roman" w:cs="Times New Roman"/>
          <w:spacing w:val="2"/>
          <w:kern w:val="2"/>
          <w:sz w:val="32"/>
          <w:szCs w:val="24"/>
          <w:lang w:val="en-US" w:eastAsia="zh-CN" w:bidi="ar-SA"/>
        </w:rPr>
        <w:t>等，以上均</w:t>
      </w:r>
      <w:r>
        <w:rPr>
          <w:rFonts w:hint="default" w:ascii="Times New Roman" w:hAnsi="Times New Roman" w:eastAsia="仿宋_GB2312" w:cs="Times New Roman"/>
          <w:spacing w:val="2"/>
          <w:kern w:val="2"/>
          <w:sz w:val="32"/>
          <w:szCs w:val="24"/>
          <w:lang w:val="en-US" w:eastAsia="zh-CN" w:bidi="ar-SA"/>
        </w:rPr>
        <w:t>未附具体人员名单</w:t>
      </w:r>
      <w:r>
        <w:rPr>
          <w:rFonts w:hint="eastAsia" w:ascii="Times New Roman" w:hAnsi="Times New Roman" w:cs="Times New Roman"/>
          <w:spacing w:val="2"/>
          <w:kern w:val="2"/>
          <w:sz w:val="32"/>
          <w:szCs w:val="24"/>
          <w:lang w:val="en-US" w:eastAsia="zh-CN" w:bidi="ar-SA"/>
        </w:rPr>
        <w:t>。</w:t>
      </w:r>
    </w:p>
    <w:p>
      <w:pPr>
        <w:pStyle w:val="18"/>
        <w:keepNext w:val="0"/>
        <w:keepLines w:val="0"/>
        <w:pageBreakBefore w:val="0"/>
        <w:widowControl w:val="0"/>
        <w:kinsoku/>
        <w:wordWrap/>
        <w:overflowPunct/>
        <w:topLinePunct w:val="0"/>
        <w:autoSpaceDE/>
        <w:autoSpaceDN/>
        <w:bidi w:val="0"/>
        <w:spacing w:line="608" w:lineRule="exact"/>
        <w:ind w:firstLine="640" w:firstLineChars="200"/>
        <w:outlineLvl w:val="0"/>
        <w:rPr>
          <w:rFonts w:hint="eastAsia" w:ascii="Times New Roman"/>
          <w:kern w:val="2"/>
          <w:szCs w:val="32"/>
          <w:lang w:eastAsia="zh-CN"/>
        </w:rPr>
      </w:pPr>
      <w:r>
        <w:rPr>
          <w:rFonts w:ascii="Times New Roman"/>
          <w:vanish/>
          <w:kern w:val="2"/>
          <w:szCs w:val="32"/>
        </w:rPr>
        <w:cr/>
      </w:r>
      <w:r>
        <w:rPr>
          <w:rFonts w:ascii="Times New Roman"/>
          <w:vanish/>
          <w:kern w:val="2"/>
          <w:szCs w:val="32"/>
        </w:rPr>
        <w:t>查法性盾。评价用语应平实、适度，避免使用感情色彩浓重的用语。】</w:t>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t>.查    回证（详</w:t>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kern w:val="2"/>
          <w:szCs w:val="32"/>
        </w:rPr>
        <w:t>四、审计</w:t>
      </w:r>
      <w:r>
        <w:rPr>
          <w:rFonts w:hint="eastAsia" w:ascii="Times New Roman"/>
          <w:kern w:val="2"/>
          <w:szCs w:val="32"/>
          <w:lang w:eastAsia="zh-CN"/>
        </w:rPr>
        <w:t>处理及整改情况</w:t>
      </w:r>
    </w:p>
    <w:p>
      <w:pPr>
        <w:ind w:firstLine="640" w:firstLineChars="200"/>
        <w:rPr>
          <w:rFonts w:hint="default" w:eastAsia="仿宋_GB2312"/>
          <w:lang w:val="en-US" w:eastAsia="zh-CN"/>
        </w:rPr>
      </w:pPr>
      <w:r>
        <w:rPr>
          <w:rFonts w:hint="eastAsia" w:ascii="仿宋" w:hAnsi="仿宋" w:eastAsia="仿宋" w:cs="仿宋"/>
          <w:sz w:val="32"/>
          <w:szCs w:val="32"/>
          <w:lang w:val="en-US" w:eastAsia="zh-CN"/>
        </w:rPr>
        <w:t>对于上述问题，老城区审计局已依法出具审计报告，并提出处理意见和整改建议。对于</w:t>
      </w:r>
      <w:r>
        <w:rPr>
          <w:rFonts w:hint="eastAsia"/>
          <w:spacing w:val="2"/>
          <w:lang w:eastAsia="zh-CN"/>
        </w:rPr>
        <w:t>往来款项长期挂账的问题，区卫健委</w:t>
      </w:r>
      <w:r>
        <w:rPr>
          <w:rFonts w:hint="eastAsia" w:ascii="仿宋_GB2312" w:hAnsi="仿宋_GB2312" w:eastAsia="仿宋_GB2312" w:cs="仿宋_GB2312"/>
          <w:kern w:val="2"/>
          <w:sz w:val="32"/>
          <w:szCs w:val="32"/>
          <w:lang w:val="en-US" w:eastAsia="zh-CN" w:bidi="ar"/>
        </w:rPr>
        <w:t>将加强资金和往来款项的监督管理</w:t>
      </w:r>
      <w:r>
        <w:rPr>
          <w:rFonts w:hint="eastAsia" w:ascii="仿宋_GB2312" w:hAnsi="仿宋_GB2312" w:cs="仿宋_GB2312"/>
          <w:kern w:val="2"/>
          <w:sz w:val="32"/>
          <w:szCs w:val="32"/>
          <w:lang w:val="en-US" w:eastAsia="zh-CN" w:bidi="ar"/>
        </w:rPr>
        <w:t>；对于</w:t>
      </w:r>
      <w:r>
        <w:rPr>
          <w:rFonts w:hint="eastAsia" w:ascii="仿宋_GB2312" w:hAnsi="仿宋_GB2312" w:eastAsia="仿宋_GB2312" w:cs="仿宋_GB2312"/>
          <w:kern w:val="2"/>
          <w:sz w:val="32"/>
          <w:szCs w:val="32"/>
          <w:lang w:val="en-US" w:eastAsia="zh-CN" w:bidi="ar"/>
        </w:rPr>
        <w:t>部分重大事项和大额资金支出或未遵守末位表态制或未经集体决策或事后上会研究</w:t>
      </w:r>
      <w:r>
        <w:rPr>
          <w:rFonts w:hint="eastAsia" w:ascii="仿宋_GB2312" w:hAnsi="仿宋_GB2312" w:cs="仿宋_GB2312"/>
          <w:kern w:val="2"/>
          <w:sz w:val="32"/>
          <w:szCs w:val="32"/>
          <w:lang w:val="en-US" w:eastAsia="zh-CN" w:bidi="ar"/>
        </w:rPr>
        <w:t>问题，区卫健委</w:t>
      </w:r>
      <w:r>
        <w:rPr>
          <w:rFonts w:hint="eastAsia" w:ascii="仿宋_GB2312" w:hAnsi="仿宋_GB2312" w:eastAsia="仿宋_GB2312" w:cs="仿宋_GB2312"/>
          <w:kern w:val="2"/>
          <w:sz w:val="32"/>
          <w:szCs w:val="32"/>
          <w:lang w:val="en-US" w:eastAsia="zh-CN" w:bidi="ar"/>
        </w:rPr>
        <w:t>出台针对性的财务管理制度规范相关行为，细化制度的具体程序和操作流程</w:t>
      </w:r>
      <w:r>
        <w:rPr>
          <w:rFonts w:hint="eastAsia" w:ascii="仿宋_GB2312" w:hAnsi="仿宋_GB2312" w:cs="仿宋_GB2312"/>
          <w:kern w:val="2"/>
          <w:sz w:val="32"/>
          <w:szCs w:val="32"/>
          <w:lang w:val="en-US" w:eastAsia="zh-CN" w:bidi="ar"/>
        </w:rPr>
        <w:t>；对于</w:t>
      </w:r>
      <w:r>
        <w:rPr>
          <w:rFonts w:hint="eastAsia"/>
          <w:spacing w:val="2"/>
          <w:lang w:eastAsia="zh-CN"/>
        </w:rPr>
        <w:t>应计未计固定资产问题，</w:t>
      </w:r>
      <w:r>
        <w:rPr>
          <w:rFonts w:hint="eastAsia" w:ascii="仿宋_GB2312" w:hAnsi="仿宋_GB2312" w:cs="仿宋_GB2312"/>
          <w:kern w:val="2"/>
          <w:sz w:val="32"/>
          <w:szCs w:val="32"/>
          <w:lang w:val="en-US" w:eastAsia="zh-CN" w:bidi="ar"/>
        </w:rPr>
        <w:t>区卫健委</w:t>
      </w:r>
      <w:r>
        <w:rPr>
          <w:rFonts w:hint="eastAsia" w:ascii="仿宋_GB2312" w:hAnsi="仿宋_GB2312" w:eastAsia="仿宋_GB2312" w:cs="仿宋_GB2312"/>
          <w:kern w:val="2"/>
          <w:sz w:val="32"/>
          <w:szCs w:val="32"/>
          <w:lang w:val="en-US" w:eastAsia="zh-CN" w:bidi="ar"/>
        </w:rPr>
        <w:t>已全部计入固定资产</w:t>
      </w:r>
      <w:r>
        <w:rPr>
          <w:rFonts w:hint="eastAsia" w:ascii="仿宋_GB2312" w:hAnsi="仿宋_GB2312" w:cs="仿宋_GB2312"/>
          <w:kern w:val="2"/>
          <w:sz w:val="32"/>
          <w:szCs w:val="32"/>
          <w:lang w:val="en-US" w:eastAsia="zh-CN" w:bidi="ar"/>
        </w:rPr>
        <w:t>；对于</w:t>
      </w:r>
      <w:r>
        <w:rPr>
          <w:spacing w:val="2"/>
        </w:rPr>
        <w:t>部分</w:t>
      </w:r>
      <w:r>
        <w:rPr>
          <w:rFonts w:hint="eastAsia"/>
          <w:spacing w:val="2"/>
          <w:lang w:eastAsia="zh-CN"/>
        </w:rPr>
        <w:t>专项资金未拨付使用问题，区卫健委</w:t>
      </w:r>
      <w:r>
        <w:rPr>
          <w:rFonts w:hint="eastAsia" w:ascii="仿宋_GB2312" w:hAnsi="仿宋_GB2312" w:cs="仿宋_GB2312"/>
          <w:kern w:val="2"/>
          <w:sz w:val="32"/>
          <w:szCs w:val="32"/>
          <w:lang w:val="en-US" w:eastAsia="zh-CN" w:bidi="ar"/>
        </w:rPr>
        <w:t>已将</w:t>
      </w:r>
      <w:r>
        <w:rPr>
          <w:rFonts w:hint="eastAsia" w:ascii="仿宋_GB2312" w:hAnsi="仿宋_GB2312" w:eastAsia="仿宋_GB2312" w:cs="仿宋_GB2312"/>
          <w:kern w:val="2"/>
          <w:sz w:val="32"/>
          <w:szCs w:val="32"/>
          <w:lang w:val="en-US" w:eastAsia="zh-CN" w:bidi="ar"/>
        </w:rPr>
        <w:t>该项资金已支付完毕</w:t>
      </w:r>
      <w:r>
        <w:rPr>
          <w:rFonts w:hint="eastAsia" w:ascii="仿宋_GB2312" w:hAnsi="仿宋_GB2312" w:cs="仿宋_GB2312"/>
          <w:kern w:val="2"/>
          <w:sz w:val="32"/>
          <w:szCs w:val="32"/>
          <w:lang w:val="en-US" w:eastAsia="zh-CN" w:bidi="ar"/>
        </w:rPr>
        <w:t>；对于</w:t>
      </w:r>
      <w:r>
        <w:rPr>
          <w:rFonts w:hint="eastAsia" w:ascii="Times New Roman" w:hAnsi="Times New Roman" w:eastAsia="仿宋_GB2312" w:cs="Times New Roman"/>
          <w:spacing w:val="2"/>
          <w:kern w:val="2"/>
          <w:sz w:val="32"/>
          <w:szCs w:val="24"/>
          <w:lang w:val="en-US" w:eastAsia="zh-CN" w:bidi="ar-SA"/>
        </w:rPr>
        <w:t>费用报销依据不充分</w:t>
      </w:r>
      <w:r>
        <w:rPr>
          <w:rFonts w:hint="eastAsia" w:cs="Times New Roman"/>
          <w:spacing w:val="2"/>
          <w:kern w:val="2"/>
          <w:sz w:val="32"/>
          <w:szCs w:val="24"/>
          <w:lang w:val="en-US" w:eastAsia="zh-CN" w:bidi="ar-SA"/>
        </w:rPr>
        <w:t>问题，区</w:t>
      </w:r>
      <w:r>
        <w:rPr>
          <w:rFonts w:hint="eastAsia" w:ascii="仿宋_GB2312" w:hAnsi="仿宋_GB2312" w:eastAsia="仿宋_GB2312" w:cs="仿宋_GB2312"/>
          <w:kern w:val="2"/>
          <w:sz w:val="32"/>
          <w:szCs w:val="32"/>
          <w:lang w:val="en-US" w:eastAsia="zh-CN" w:bidi="ar"/>
        </w:rPr>
        <w:t>卫健委将完善内部控制制度，加强对《行政单位财务规则》的学习，严格执行票据审核工作</w:t>
      </w:r>
      <w:r>
        <w:rPr>
          <w:rFonts w:hint="eastAsia" w:ascii="仿宋_GB2312" w:cs="Times New Roman"/>
          <w:b w:val="0"/>
          <w:color w:val="000000"/>
          <w:kern w:val="2"/>
          <w:sz w:val="32"/>
          <w:szCs w:val="22"/>
          <w:lang w:val="en-US" w:eastAsia="zh-CN" w:bidi="ar-SA"/>
        </w:rPr>
        <w:t>。</w:t>
      </w:r>
    </w:p>
    <w:p>
      <w:pPr>
        <w:pStyle w:val="2"/>
        <w:keepNext w:val="0"/>
        <w:keepLines w:val="0"/>
        <w:pageBreakBefore w:val="0"/>
        <w:widowControl w:val="0"/>
        <w:kinsoku/>
        <w:wordWrap/>
        <w:overflowPunct/>
        <w:topLinePunct w:val="0"/>
        <w:autoSpaceDE/>
        <w:autoSpaceDN/>
        <w:bidi w:val="0"/>
        <w:spacing w:line="608" w:lineRule="exact"/>
        <w:ind w:firstLine="640"/>
        <w:rPr>
          <w:rFonts w:hint="eastAsia"/>
        </w:rPr>
      </w:pPr>
    </w:p>
    <w:p>
      <w:pPr>
        <w:pStyle w:val="19"/>
        <w:keepNext w:val="0"/>
        <w:keepLines w:val="0"/>
        <w:pageBreakBefore w:val="0"/>
        <w:widowControl w:val="0"/>
        <w:kinsoku/>
        <w:wordWrap/>
        <w:overflowPunct/>
        <w:topLinePunct w:val="0"/>
        <w:autoSpaceDE/>
        <w:autoSpaceDN/>
        <w:bidi w:val="0"/>
        <w:spacing w:line="608" w:lineRule="exact"/>
        <w:ind w:firstLine="640"/>
        <w:rPr>
          <w:rFonts w:ascii="Times New Roman" w:hAnsi="Times New Roman"/>
        </w:rPr>
      </w:pPr>
    </w:p>
    <w:p>
      <w:pPr>
        <w:pStyle w:val="19"/>
        <w:keepNext w:val="0"/>
        <w:keepLines w:val="0"/>
        <w:pageBreakBefore w:val="0"/>
        <w:widowControl w:val="0"/>
        <w:kinsoku/>
        <w:wordWrap/>
        <w:overflowPunct/>
        <w:topLinePunct w:val="0"/>
        <w:autoSpaceDE/>
        <w:autoSpaceDN/>
        <w:bidi w:val="0"/>
        <w:spacing w:line="608" w:lineRule="exact"/>
        <w:ind w:firstLine="640"/>
        <w:rPr>
          <w:rFonts w:ascii="Times New Roman" w:hAnsi="Times New Roman"/>
        </w:rPr>
      </w:pPr>
    </w:p>
    <w:p>
      <w:pPr>
        <w:pStyle w:val="19"/>
        <w:keepNext w:val="0"/>
        <w:keepLines w:val="0"/>
        <w:pageBreakBefore w:val="0"/>
        <w:widowControl w:val="0"/>
        <w:kinsoku/>
        <w:wordWrap/>
        <w:overflowPunct/>
        <w:topLinePunct w:val="0"/>
        <w:autoSpaceDE/>
        <w:autoSpaceDN/>
        <w:bidi w:val="0"/>
        <w:spacing w:line="608" w:lineRule="exact"/>
        <w:ind w:firstLine="640"/>
        <w:rPr>
          <w:rFonts w:ascii="Times New Roman" w:hAnsi="Times New Roman"/>
        </w:rPr>
      </w:pPr>
    </w:p>
    <w:p>
      <w:pPr>
        <w:pStyle w:val="19"/>
        <w:keepNext w:val="0"/>
        <w:keepLines w:val="0"/>
        <w:pageBreakBefore w:val="0"/>
        <w:widowControl w:val="0"/>
        <w:kinsoku/>
        <w:wordWrap/>
        <w:overflowPunct/>
        <w:topLinePunct w:val="0"/>
        <w:autoSpaceDE/>
        <w:autoSpaceDN/>
        <w:bidi w:val="0"/>
        <w:spacing w:line="608" w:lineRule="exact"/>
        <w:jc w:val="center"/>
        <w:rPr>
          <w:rFonts w:hint="eastAsia" w:ascii="Times New Roman" w:hAnsi="Times New Roman" w:eastAsia="仿宋_GB2312"/>
          <w:lang w:eastAsia="zh-CN"/>
        </w:rPr>
      </w:pPr>
      <w:r>
        <w:rPr>
          <w:rFonts w:hint="eastAsia" w:ascii="Times New Roman" w:hAnsi="Times New Roman"/>
          <w:lang w:val="en-US" w:eastAsia="zh-CN"/>
        </w:rPr>
        <w:t xml:space="preserve">                                   </w:t>
      </w:r>
    </w:p>
    <w:p>
      <w:pPr>
        <w:pStyle w:val="19"/>
        <w:keepNext w:val="0"/>
        <w:keepLines w:val="0"/>
        <w:pageBreakBefore w:val="0"/>
        <w:widowControl w:val="0"/>
        <w:kinsoku/>
        <w:wordWrap/>
        <w:overflowPunct/>
        <w:topLinePunct w:val="0"/>
        <w:autoSpaceDE/>
        <w:autoSpaceDN/>
        <w:bidi w:val="0"/>
        <w:spacing w:line="608" w:lineRule="exact"/>
        <w:ind w:firstLine="640"/>
        <w:jc w:val="right"/>
        <w:rPr>
          <w:rFonts w:hint="default" w:ascii="Times New Roman" w:hAnsi="Times New Roman" w:eastAsia="仿宋_GB2312"/>
          <w:lang w:val="en-US" w:eastAsia="zh-CN"/>
        </w:rPr>
      </w:pPr>
      <w:r>
        <w:rPr>
          <w:rFonts w:hint="eastAsia" w:ascii="Times New Roman" w:hAnsi="Times New Roman"/>
          <w:lang w:val="en-US" w:eastAsia="zh-CN"/>
        </w:rPr>
        <w:t xml:space="preserve"> </w:t>
      </w:r>
    </w:p>
    <w:p/>
    <w:sectPr>
      <w:footerReference r:id="rId3" w:type="default"/>
      <w:pgSz w:w="11906" w:h="16838"/>
      <w:pgMar w:top="2098" w:right="1531" w:bottom="1928" w:left="1531" w:header="851" w:footer="992" w:gutter="0"/>
      <w:pgNumType w:fmt="decimal"/>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4864735</wp:posOffset>
              </wp:positionH>
              <wp:positionV relativeFrom="paragraph">
                <wp:posOffset>-173990</wp:posOffset>
              </wp:positionV>
              <wp:extent cx="75120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1205" cy="314325"/>
                      </a:xfrm>
                      <a:prstGeom prst="rect">
                        <a:avLst/>
                      </a:prstGeom>
                      <a:noFill/>
                      <a:ln>
                        <a:noFill/>
                      </a:ln>
                    </wps:spPr>
                    <wps:txbx>
                      <w:txbxContent>
                        <w:p>
                          <w:pPr>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383.05pt;margin-top:-13.7pt;height:24.75pt;width:59.15pt;mso-position-horizontal-relative:margin;z-index:251659264;mso-width-relative:page;mso-height-relative:page;" filled="f" stroked="f" coordsize="21600,21600" o:gfxdata="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YzsIdkAAAAKAQAADwAAAAAAAAABACAAAAAiAAAAZHJzL2Rvd25yZXYueG1sUEsB&#10;AhQAFAAAAAgAh07iQCXMwxy7AQAAcQMAAA4AAAAAAAAAAQAgAAAAKAEAAGRycy9lMm9Eb2MueG1s&#10;UEsFBgAAAAAGAAYAWQEAAFUFAAAAAA==&#10;">
              <v:fill on="f" focussize="0,0"/>
              <v:stroke on="f"/>
              <v:imagedata o:title=""/>
              <o:lock v:ext="edit" aspectratio="f"/>
              <v:textbox inset="0mm,0mm,0mm,0mm">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TNlNWQ1NGVhN2FlZTljOWFkZWE4MjM3YTU2YzcifQ=="/>
  </w:docVars>
  <w:rsids>
    <w:rsidRoot w:val="00000000"/>
    <w:rsid w:val="071A149F"/>
    <w:rsid w:val="108F6A5A"/>
    <w:rsid w:val="1ED30659"/>
    <w:rsid w:val="2E204D3E"/>
    <w:rsid w:val="2E866557"/>
    <w:rsid w:val="341E6BDA"/>
    <w:rsid w:val="3AEA295B"/>
    <w:rsid w:val="42A96C58"/>
    <w:rsid w:val="45A55DFD"/>
    <w:rsid w:val="48FB587C"/>
    <w:rsid w:val="4DDE4456"/>
    <w:rsid w:val="59E51367"/>
    <w:rsid w:val="6AA60986"/>
    <w:rsid w:val="6D4F1ACC"/>
    <w:rsid w:val="6D890FEA"/>
    <w:rsid w:val="6EFD396A"/>
    <w:rsid w:val="781156A1"/>
    <w:rsid w:val="789B0816"/>
    <w:rsid w:val="7A5372B3"/>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annotation text"/>
    <w:basedOn w:val="1"/>
    <w:autoRedefine/>
    <w:qFormat/>
    <w:uiPriority w:val="0"/>
    <w:pPr>
      <w:jc w:val="left"/>
    </w:pPr>
  </w:style>
  <w:style w:type="paragraph" w:styleId="4">
    <w:name w:val="Body Text Indent"/>
    <w:basedOn w:val="1"/>
    <w:next w:val="5"/>
    <w:autoRedefine/>
    <w:qFormat/>
    <w:uiPriority w:val="0"/>
    <w:pPr>
      <w:spacing w:after="120"/>
      <w:ind w:left="420" w:leftChars="200"/>
    </w:pPr>
  </w:style>
  <w:style w:type="paragraph" w:styleId="5">
    <w:name w:val="annotation subject"/>
    <w:basedOn w:val="3"/>
    <w:next w:val="1"/>
    <w:autoRedefine/>
    <w:qFormat/>
    <w:uiPriority w:val="0"/>
    <w:rPr>
      <w:b/>
      <w:bCs/>
    </w:rPr>
  </w:style>
  <w:style w:type="paragraph" w:styleId="6">
    <w:name w:val="Date"/>
    <w:basedOn w:val="1"/>
    <w:next w:val="1"/>
    <w:autoRedefine/>
    <w:qFormat/>
    <w:uiPriority w:val="0"/>
    <w:pPr>
      <w:widowControl w:val="0"/>
      <w:jc w:val="both"/>
    </w:pPr>
    <w:rPr>
      <w:rFonts w:eastAsia="仿宋_GB2312"/>
      <w:kern w:val="2"/>
      <w:sz w:val="32"/>
      <w:lang w:eastAsia="zh-CN"/>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autoRedefine/>
    <w:qFormat/>
    <w:uiPriority w:val="0"/>
    <w:pPr>
      <w:ind w:firstLine="645"/>
    </w:pPr>
    <w:rPr>
      <w:rFonts w:ascii="黑体" w:eastAsia="黑体"/>
      <w:kern w:val="2"/>
      <w:sz w:val="21"/>
    </w:rPr>
  </w:style>
  <w:style w:type="paragraph" w:styleId="10">
    <w:name w:val="Body Text First Indent 2"/>
    <w:basedOn w:val="4"/>
    <w:next w:val="1"/>
    <w:autoRedefine/>
    <w:qFormat/>
    <w:uiPriority w:val="0"/>
    <w:pPr>
      <w:spacing w:after="0"/>
      <w:ind w:left="0" w:leftChars="0" w:firstLine="420" w:firstLineChars="200"/>
    </w:pPr>
    <w:rPr>
      <w:rFonts w:ascii="Calibri" w:hAnsi="Calibri" w:eastAsia="宋体" w:cs="Calibri"/>
      <w:sz w:val="30"/>
      <w:szCs w:val="30"/>
    </w:rPr>
  </w:style>
  <w:style w:type="paragraph" w:customStyle="1" w:styleId="13">
    <w:name w:val="样式1"/>
    <w:basedOn w:val="1"/>
    <w:autoRedefine/>
    <w:qFormat/>
    <w:uiPriority w:val="0"/>
    <w:rPr>
      <w:b/>
      <w:color w:val="538135"/>
      <w:sz w:val="28"/>
    </w:rPr>
  </w:style>
  <w:style w:type="paragraph" w:customStyle="1" w:styleId="14">
    <w:name w:val="发文单位"/>
    <w:basedOn w:val="1"/>
    <w:autoRedefine/>
    <w:qFormat/>
    <w:uiPriority w:val="0"/>
    <w:pPr>
      <w:widowControl w:val="0"/>
      <w:adjustRightInd w:val="0"/>
      <w:spacing w:before="120" w:beforeLines="0" w:after="120" w:afterLines="0" w:line="560" w:lineRule="atLeast"/>
      <w:jc w:val="center"/>
      <w:textAlignment w:val="baseline"/>
    </w:pPr>
    <w:rPr>
      <w:rFonts w:ascii="黑体" w:eastAsia="黑体"/>
      <w:color w:val="FF0000"/>
      <w:spacing w:val="60"/>
      <w:sz w:val="52"/>
      <w:lang w:eastAsia="zh-CN"/>
    </w:rPr>
  </w:style>
  <w:style w:type="paragraph" w:customStyle="1" w:styleId="15">
    <w:name w:val="文书类型"/>
    <w:basedOn w:val="14"/>
    <w:autoRedefine/>
    <w:qFormat/>
    <w:uiPriority w:val="0"/>
    <w:pPr>
      <w:spacing w:after="180" w:afterLines="0"/>
    </w:pPr>
    <w:rPr>
      <w:spacing w:val="120"/>
      <w:sz w:val="84"/>
    </w:rPr>
  </w:style>
  <w:style w:type="character" w:customStyle="1" w:styleId="16">
    <w:name w:val="Body Text Indent 3 Char"/>
    <w:link w:val="17"/>
    <w:autoRedefine/>
    <w:qFormat/>
    <w:uiPriority w:val="0"/>
    <w:rPr>
      <w:kern w:val="0"/>
      <w:sz w:val="16"/>
      <w:szCs w:val="16"/>
    </w:rPr>
  </w:style>
  <w:style w:type="paragraph" w:customStyle="1" w:styleId="17">
    <w:name w:val="Body Text Indent 3"/>
    <w:basedOn w:val="1"/>
    <w:link w:val="16"/>
    <w:autoRedefine/>
    <w:qFormat/>
    <w:uiPriority w:val="0"/>
    <w:pPr>
      <w:ind w:left="420" w:leftChars="200"/>
    </w:pPr>
    <w:rPr>
      <w:kern w:val="0"/>
      <w:sz w:val="16"/>
      <w:szCs w:val="16"/>
    </w:rPr>
  </w:style>
  <w:style w:type="paragraph" w:customStyle="1" w:styleId="18">
    <w:name w:val="一、正文一级小标题"/>
    <w:basedOn w:val="1"/>
    <w:next w:val="1"/>
    <w:qFormat/>
    <w:uiPriority w:val="0"/>
    <w:pPr>
      <w:adjustRightInd w:val="0"/>
      <w:snapToGrid w:val="0"/>
      <w:spacing w:line="579" w:lineRule="exact"/>
      <w:textAlignment w:val="baseline"/>
      <w:outlineLvl w:val="1"/>
    </w:pPr>
    <w:rPr>
      <w:rFonts w:ascii="黑体" w:eastAsia="黑体"/>
      <w:kern w:val="0"/>
      <w:sz w:val="32"/>
    </w:rPr>
  </w:style>
  <w:style w:type="paragraph" w:customStyle="1" w:styleId="19">
    <w:name w:val="正文缩进1"/>
    <w:basedOn w:val="1"/>
    <w:qFormat/>
    <w:uiPriority w:val="0"/>
    <w:pPr>
      <w:ind w:firstLine="420" w:firstLineChars="200"/>
    </w:pPr>
    <w:rPr>
      <w:rFonts w:ascii="Calibri" w:hAnsi="Calibri"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2023-07-11T08:44:00Z</dcterms:created>
  <dc:creator>Administrator</dc:creator>
  <cp:lastModifiedBy>Administrator</cp:lastModifiedBy>
  <dcterms:modified xsi:type="dcterms:W3CDTF">2023-12-26T03:24:44Z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97B596D14BDD4560976B366201F2C0C7_12</vt:lpwstr>
  </property>
</Properties>
</file>