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lang w:eastAsia="zh-CN"/>
        </w:rPr>
      </w:pPr>
      <w:r>
        <w:rPr>
          <w:rFonts w:hint="eastAsia"/>
          <w:sz w:val="44"/>
          <w:lang w:eastAsia="zh-CN"/>
        </w:rPr>
        <w:t>老城区审计局结果公告</w:t>
      </w:r>
    </w:p>
    <w:p>
      <w:pPr>
        <w:pStyle w:val="2"/>
        <w:ind w:firstLine="1920" w:firstLineChars="600"/>
        <w:jc w:val="both"/>
        <w:rPr>
          <w:rFonts w:hint="eastAsia"/>
          <w:sz w:val="32"/>
          <w:szCs w:val="32"/>
          <w:lang w:eastAsia="zh-CN"/>
        </w:rPr>
      </w:pPr>
      <w:r>
        <w:rPr>
          <w:rFonts w:hint="eastAsia"/>
          <w:sz w:val="32"/>
          <w:szCs w:val="32"/>
          <w:lang w:eastAsia="zh-CN"/>
        </w:rPr>
        <w:t>（二〇二三年十二月二十五日）</w:t>
      </w:r>
    </w:p>
    <w:p>
      <w:pPr>
        <w:pStyle w:val="2"/>
        <w:ind w:firstLine="3200" w:firstLineChars="1000"/>
        <w:jc w:val="both"/>
        <w:rPr>
          <w:rFonts w:hint="eastAsia"/>
          <w:sz w:val="32"/>
          <w:szCs w:val="32"/>
          <w:lang w:val="en-US" w:eastAsia="zh-CN"/>
        </w:rPr>
      </w:pPr>
      <w:r>
        <w:rPr>
          <w:rFonts w:hint="eastAsia"/>
          <w:sz w:val="32"/>
          <w:szCs w:val="32"/>
          <w:lang w:val="en-US" w:eastAsia="zh-CN"/>
        </w:rPr>
        <w:t>2023年第6号</w:t>
      </w:r>
    </w:p>
    <w:p>
      <w:pPr>
        <w:pStyle w:val="2"/>
        <w:ind w:firstLine="3520" w:firstLineChars="1100"/>
        <w:jc w:val="both"/>
        <w:rPr>
          <w:rFonts w:hint="eastAsia"/>
          <w:sz w:val="32"/>
          <w:szCs w:val="32"/>
          <w:lang w:val="en-US" w:eastAsia="zh-CN"/>
        </w:rPr>
      </w:pPr>
    </w:p>
    <w:p>
      <w:pPr>
        <w:spacing w:line="600" w:lineRule="exact"/>
        <w:ind w:left="1918" w:leftChars="304" w:hanging="1280" w:hangingChars="400"/>
        <w:rPr>
          <w:rFonts w:hint="eastAsia"/>
          <w:sz w:val="32"/>
          <w:szCs w:val="32"/>
          <w:lang w:val="en-US" w:eastAsia="zh-CN"/>
        </w:rPr>
      </w:pPr>
      <w:r>
        <w:rPr>
          <w:rFonts w:hint="eastAsia"/>
          <w:sz w:val="32"/>
          <w:szCs w:val="32"/>
          <w:lang w:val="en-US" w:eastAsia="zh-CN"/>
        </w:rPr>
        <w:t>老城区香玉（英雄北）路（魏紫路至琴书路段）建设工程（EPC项目）抽查审计结果公告</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 w:hAnsi="仿宋" w:eastAsia="仿宋"/>
          <w:bCs/>
          <w:sz w:val="32"/>
          <w:szCs w:val="32"/>
          <w:highlight w:val="none"/>
          <w:lang w:eastAsia="zh-CN"/>
        </w:rPr>
      </w:pPr>
      <w:r>
        <w:rPr>
          <w:rFonts w:hint="eastAsia" w:ascii="仿宋" w:hAnsi="仿宋" w:eastAsia="仿宋"/>
          <w:sz w:val="32"/>
          <w:szCs w:val="32"/>
          <w:highlight w:val="none"/>
        </w:rPr>
        <w:t>根据《中华人民共和国审计法》第二十三条、</w:t>
      </w:r>
      <w:r>
        <w:rPr>
          <w:rFonts w:hint="eastAsia" w:ascii="仿宋" w:hAnsi="仿宋" w:eastAsia="仿宋"/>
          <w:color w:val="auto"/>
          <w:sz w:val="32"/>
          <w:szCs w:val="32"/>
          <w:highlight w:val="none"/>
        </w:rPr>
        <w:t>《审计署关于进一步完善和规范投资审计工作的意见》（审投发〔</w:t>
      </w:r>
      <w:r>
        <w:rPr>
          <w:rFonts w:ascii="仿宋" w:hAnsi="仿宋" w:eastAsia="仿宋"/>
          <w:color w:val="auto"/>
          <w:sz w:val="32"/>
          <w:szCs w:val="32"/>
          <w:highlight w:val="none"/>
        </w:rPr>
        <w:t>2017</w:t>
      </w:r>
      <w:r>
        <w:rPr>
          <w:rFonts w:hint="eastAsia" w:ascii="仿宋" w:hAnsi="仿宋" w:eastAsia="仿宋"/>
          <w:color w:val="auto"/>
          <w:sz w:val="32"/>
          <w:szCs w:val="32"/>
          <w:highlight w:val="none"/>
        </w:rPr>
        <w:t>〕</w:t>
      </w:r>
      <w:r>
        <w:rPr>
          <w:rFonts w:ascii="仿宋" w:hAnsi="仿宋" w:eastAsia="仿宋"/>
          <w:color w:val="auto"/>
          <w:sz w:val="32"/>
          <w:szCs w:val="32"/>
          <w:highlight w:val="none"/>
        </w:rPr>
        <w:t xml:space="preserve">30 </w:t>
      </w:r>
      <w:r>
        <w:rPr>
          <w:rFonts w:hint="eastAsia" w:ascii="仿宋" w:hAnsi="仿宋" w:eastAsia="仿宋"/>
          <w:color w:val="auto"/>
          <w:sz w:val="32"/>
          <w:szCs w:val="32"/>
          <w:highlight w:val="none"/>
        </w:rPr>
        <w:t>号</w:t>
      </w:r>
      <w:r>
        <w:rPr>
          <w:rFonts w:hint="eastAsia" w:ascii="仿宋" w:hAnsi="仿宋" w:eastAsia="仿宋"/>
          <w:color w:val="auto"/>
          <w:sz w:val="32"/>
          <w:szCs w:val="32"/>
          <w:highlight w:val="none"/>
          <w:lang w:eastAsia="zh-CN"/>
        </w:rPr>
        <w:t>）、</w:t>
      </w:r>
      <w:r>
        <w:rPr>
          <w:rFonts w:hint="eastAsia" w:ascii="仿宋" w:hAnsi="仿宋" w:eastAsia="仿宋"/>
          <w:sz w:val="32"/>
          <w:szCs w:val="32"/>
          <w:highlight w:val="none"/>
        </w:rPr>
        <w:t>《河南省政府投资建设项目审计条例》以及</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老城区</w:t>
      </w:r>
      <w:r>
        <w:rPr>
          <w:rFonts w:hint="eastAsia" w:ascii="仿宋" w:hAnsi="仿宋" w:eastAsia="仿宋"/>
          <w:color w:val="auto"/>
          <w:sz w:val="32"/>
          <w:szCs w:val="32"/>
          <w:highlight w:val="none"/>
        </w:rPr>
        <w:t>人民政府</w:t>
      </w:r>
      <w:r>
        <w:rPr>
          <w:rFonts w:hint="eastAsia" w:ascii="仿宋" w:hAnsi="仿宋" w:eastAsia="仿宋"/>
          <w:color w:val="auto"/>
          <w:sz w:val="32"/>
          <w:szCs w:val="32"/>
          <w:highlight w:val="none"/>
          <w:lang w:eastAsia="zh-CN"/>
        </w:rPr>
        <w:t>关于规范政府投资项目审核程序</w:t>
      </w:r>
      <w:r>
        <w:rPr>
          <w:rFonts w:hint="eastAsia" w:ascii="仿宋" w:hAnsi="仿宋" w:eastAsia="仿宋"/>
          <w:color w:val="auto"/>
          <w:sz w:val="32"/>
          <w:szCs w:val="32"/>
          <w:highlight w:val="none"/>
        </w:rPr>
        <w:t>的通知》（</w:t>
      </w:r>
      <w:r>
        <w:rPr>
          <w:rFonts w:hint="eastAsia" w:ascii="仿宋" w:hAnsi="仿宋" w:eastAsia="仿宋"/>
          <w:color w:val="auto"/>
          <w:sz w:val="32"/>
          <w:szCs w:val="32"/>
          <w:highlight w:val="none"/>
          <w:lang w:eastAsia="zh-CN"/>
        </w:rPr>
        <w:t>老城政</w:t>
      </w:r>
      <w:r>
        <w:rPr>
          <w:rFonts w:hint="eastAsia" w:ascii="仿宋" w:hAnsi="仿宋" w:eastAsia="仿宋"/>
          <w:color w:val="auto"/>
          <w:sz w:val="32"/>
          <w:szCs w:val="32"/>
          <w:highlight w:val="none"/>
        </w:rPr>
        <w:t>﹝</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10</w:t>
      </w:r>
      <w:r>
        <w:rPr>
          <w:rFonts w:hint="eastAsia" w:ascii="仿宋" w:hAnsi="仿宋" w:eastAsia="仿宋"/>
          <w:sz w:val="32"/>
          <w:szCs w:val="32"/>
          <w:highlight w:val="none"/>
          <w:lang w:val="en-US" w:eastAsia="zh-CN"/>
        </w:rPr>
        <w:t>号）的要求，老城区审计局对老城区</w:t>
      </w:r>
      <w:r>
        <w:rPr>
          <w:rFonts w:hint="eastAsia" w:ascii="仿宋" w:hAnsi="仿宋" w:eastAsia="仿宋"/>
          <w:sz w:val="32"/>
          <w:szCs w:val="32"/>
          <w:highlight w:val="none"/>
          <w:lang w:eastAsia="zh-CN"/>
        </w:rPr>
        <w:t>香玉（英雄北）路（魏紫路至琴书路段）建设工程（EPC项目）</w:t>
      </w:r>
      <w:r>
        <w:rPr>
          <w:rFonts w:hint="eastAsia" w:ascii="仿宋" w:hAnsi="仿宋" w:eastAsia="仿宋"/>
          <w:bCs/>
          <w:sz w:val="32"/>
          <w:szCs w:val="32"/>
        </w:rPr>
        <w:t>进行抽查审计</w:t>
      </w:r>
      <w:r>
        <w:rPr>
          <w:rFonts w:hint="eastAsia" w:ascii="仿宋" w:hAnsi="仿宋" w:eastAsia="仿宋"/>
          <w:bCs/>
          <w:sz w:val="32"/>
          <w:szCs w:val="32"/>
          <w:highlight w:val="none"/>
          <w:lang w:eastAsia="zh-CN"/>
        </w:rPr>
        <w:t>，现将审计结果公告如下：</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一、项目基本情况</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洛阳市老城区香玉（英雄北）路（魏紫路至琴书路段）建设工程（EPC项目）位于洛阳市老城区洛阳烈士陵园东北，主要内容包括新建道路、排水、电力、照明、交通、绿化等内容。项目建设单位为洛阳市老城区住房和城乡建设局，设计单位为洛阳城市建设勘查设计院有限公司，监理单位为河南路星工程管理有限公司，施工单位为河南昶明建设集团有限公司。</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送审资料显示，该项目于2022年</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lang w:eastAsia="zh-CN"/>
        </w:rPr>
        <w:t>月由洛阳市老城区住房和城乡建设局委托中远融通工程咨询有限公司进行公开招标，招标编号：老城政采招标（2022）0077号，河南昶明建设集团有限公司中标本工程。2022年11月16日洛阳市老城区住房和城乡建设局与河南昶明建设集团有限公司签订了《洛阳市老城区香玉（英雄北）路（魏紫路至琴书路段）建设工程（EPC项目）建设项目总承包合同》,项目于2022年11月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lang w:eastAsia="zh-CN"/>
        </w:rPr>
        <w:t>日开工建设，202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年1月16日完成竣工验收。</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二、审计评价意见</w:t>
      </w:r>
    </w:p>
    <w:p>
      <w:pPr>
        <w:pStyle w:val="2"/>
        <w:keepNext w:val="0"/>
        <w:keepLines w:val="0"/>
        <w:pageBreakBefore w:val="0"/>
        <w:widowControl w:val="0"/>
        <w:kinsoku/>
        <w:wordWrap/>
        <w:overflowPunct/>
        <w:topLinePunct w:val="0"/>
        <w:autoSpaceDE/>
        <w:autoSpaceDN/>
        <w:bidi w:val="0"/>
        <w:adjustRightInd/>
        <w:snapToGrid/>
        <w:spacing w:line="608" w:lineRule="exact"/>
        <w:ind w:firstLine="48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审计结果表明，洛阳市老城区住房和城乡建设局存在工程未经有效验收投入使用、未按图纸施工、未按合同约定及时支付工程款、未编制竣工财务决算的问题。</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rPr>
        <w:t>三、审计</w:t>
      </w:r>
      <w:r>
        <w:rPr>
          <w:rFonts w:hint="eastAsia" w:ascii="黑体" w:hAnsi="黑体" w:eastAsia="黑体"/>
          <w:sz w:val="32"/>
          <w:szCs w:val="32"/>
          <w:highlight w:val="none"/>
          <w:lang w:eastAsia="zh-CN"/>
        </w:rPr>
        <w:t>查出主要问题</w:t>
      </w:r>
    </w:p>
    <w:p>
      <w:pPr>
        <w:pStyle w:val="2"/>
        <w:keepNext w:val="0"/>
        <w:keepLines w:val="0"/>
        <w:pageBreakBefore w:val="0"/>
        <w:widowControl w:val="0"/>
        <w:kinsoku/>
        <w:wordWrap/>
        <w:overflowPunct/>
        <w:topLinePunct w:val="0"/>
        <w:autoSpaceDE/>
        <w:autoSpaceDN/>
        <w:bidi w:val="0"/>
        <w:adjustRightInd/>
        <w:snapToGrid/>
        <w:spacing w:line="608" w:lineRule="exact"/>
        <w:ind w:firstLine="480"/>
        <w:textAlignment w:val="auto"/>
        <w:rPr>
          <w:rFonts w:hint="default" w:ascii="楷体" w:hAnsi="楷体" w:eastAsia="楷体"/>
          <w:sz w:val="32"/>
          <w:szCs w:val="32"/>
          <w:highlight w:val="none"/>
          <w:lang w:val="en-US" w:eastAsia="zh-CN"/>
        </w:rPr>
      </w:pPr>
      <w:r>
        <w:rPr>
          <w:rFonts w:hint="eastAsia" w:ascii="楷体" w:hAnsi="楷体" w:eastAsia="楷体"/>
          <w:sz w:val="32"/>
          <w:szCs w:val="32"/>
          <w:highlight w:val="none"/>
        </w:rPr>
        <w:t>（</w:t>
      </w:r>
      <w:r>
        <w:rPr>
          <w:rFonts w:hint="eastAsia" w:ascii="楷体" w:hAnsi="楷体" w:eastAsia="楷体"/>
          <w:sz w:val="32"/>
          <w:szCs w:val="32"/>
          <w:highlight w:val="none"/>
          <w:lang w:val="en-US" w:eastAsia="zh-CN"/>
        </w:rPr>
        <w:t>一</w:t>
      </w:r>
      <w:r>
        <w:rPr>
          <w:rFonts w:hint="eastAsia" w:ascii="楷体" w:hAnsi="楷体" w:eastAsia="楷体"/>
          <w:sz w:val="32"/>
          <w:szCs w:val="32"/>
          <w:highlight w:val="none"/>
        </w:rPr>
        <w:t>）</w:t>
      </w:r>
      <w:r>
        <w:rPr>
          <w:rFonts w:hint="eastAsia" w:ascii="楷体" w:hAnsi="楷体" w:eastAsia="楷体" w:cs="楷体"/>
          <w:kern w:val="2"/>
          <w:sz w:val="32"/>
          <w:szCs w:val="32"/>
          <w:highlight w:val="none"/>
          <w:lang w:val="en-US" w:eastAsia="zh-CN" w:bidi="ar-SA"/>
        </w:rPr>
        <w:t>工程未经有效验收投入使用</w:t>
      </w:r>
    </w:p>
    <w:p>
      <w:pPr>
        <w:pStyle w:val="2"/>
        <w:keepNext w:val="0"/>
        <w:keepLines w:val="0"/>
        <w:pageBreakBefore w:val="0"/>
        <w:widowControl w:val="0"/>
        <w:kinsoku/>
        <w:wordWrap/>
        <w:overflowPunct/>
        <w:topLinePunct w:val="0"/>
        <w:autoSpaceDE/>
        <w:autoSpaceDN/>
        <w:bidi w:val="0"/>
        <w:adjustRightInd/>
        <w:snapToGrid/>
        <w:spacing w:line="608" w:lineRule="exact"/>
        <w:ind w:firstLine="480"/>
        <w:textAlignment w:val="auto"/>
        <w:rPr>
          <w:rFonts w:hint="eastAsia"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老城区香玉（英雄北）路（魏紫路至琴书路段）建设工程（EPC项目）于2023年1月16日竣工验收并签定竣工验收证书，但竣工验收证书上缺少设计方单位盖章，此工程未进行有效验收，后该工程投入使用。</w:t>
      </w:r>
    </w:p>
    <w:p>
      <w:pPr>
        <w:keepNext w:val="0"/>
        <w:keepLines w:val="0"/>
        <w:pageBreakBefore w:val="0"/>
        <w:widowControl w:val="0"/>
        <w:kinsoku/>
        <w:wordWrap/>
        <w:overflowPunct/>
        <w:topLinePunct w:val="0"/>
        <w:autoSpaceDE/>
        <w:autoSpaceDN/>
        <w:bidi w:val="0"/>
        <w:adjustRightInd/>
        <w:snapToGrid/>
        <w:spacing w:line="608" w:lineRule="exact"/>
        <w:ind w:left="0" w:leftChars="0" w:firstLine="640" w:firstLineChars="200"/>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二</w:t>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未按图纸施工</w:t>
      </w:r>
    </w:p>
    <w:p>
      <w:pPr>
        <w:keepNext w:val="0"/>
        <w:keepLines w:val="0"/>
        <w:pageBreakBefore w:val="0"/>
        <w:widowControl w:val="0"/>
        <w:numPr>
          <w:ilvl w:val="0"/>
          <w:numId w:val="0"/>
        </w:numPr>
        <w:kinsoku/>
        <w:wordWrap/>
        <w:overflowPunct/>
        <w:topLinePunct w:val="0"/>
        <w:autoSpaceDE/>
        <w:autoSpaceDN/>
        <w:bidi w:val="0"/>
        <w:adjustRightInd/>
        <w:snapToGrid/>
        <w:spacing w:line="608"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根据《建设工程质量管理条例》要求，施工单位必须按照工程设计图纸和施工技术标准施工，此次审计发现，该项目部分工程未按图纸施工。</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三</w:t>
      </w:r>
      <w:r>
        <w:rPr>
          <w:rFonts w:hint="eastAsia" w:ascii="楷体" w:hAnsi="楷体" w:eastAsia="楷体" w:cs="楷体"/>
          <w:sz w:val="32"/>
          <w:szCs w:val="32"/>
          <w:highlight w:val="none"/>
        </w:rPr>
        <w:t>）</w:t>
      </w:r>
      <w:r>
        <w:rPr>
          <w:rFonts w:hint="eastAsia" w:ascii="楷体" w:hAnsi="楷体" w:eastAsia="楷体" w:cs="楷体"/>
          <w:sz w:val="32"/>
          <w:szCs w:val="32"/>
          <w:highlight w:val="none"/>
          <w:lang w:val="en-US" w:eastAsia="zh-CN"/>
        </w:rPr>
        <w:t>未按合同约定及时支付工程款</w:t>
      </w:r>
    </w:p>
    <w:p>
      <w:pPr>
        <w:pStyle w:val="2"/>
        <w:keepNext w:val="0"/>
        <w:keepLines w:val="0"/>
        <w:pageBreakBefore w:val="0"/>
        <w:widowControl w:val="0"/>
        <w:kinsoku/>
        <w:wordWrap/>
        <w:overflowPunct/>
        <w:topLinePunct w:val="0"/>
        <w:autoSpaceDE/>
        <w:autoSpaceDN/>
        <w:bidi w:val="0"/>
        <w:adjustRightInd/>
        <w:snapToGrid/>
        <w:spacing w:line="608" w:lineRule="exact"/>
        <w:ind w:firstLine="480"/>
        <w:textAlignment w:val="auto"/>
        <w:rPr>
          <w:rFonts w:hint="eastAsia" w:ascii="仿宋" w:hAnsi="仿宋" w:eastAsia="仿宋" w:cstheme="minorBidi"/>
          <w:kern w:val="2"/>
          <w:sz w:val="32"/>
          <w:szCs w:val="32"/>
          <w:highlight w:val="none"/>
          <w:lang w:val="en-US" w:eastAsia="zh-CN" w:bidi="ar-SA"/>
        </w:rPr>
      </w:pPr>
      <w:r>
        <w:rPr>
          <w:rFonts w:hint="eastAsia" w:ascii="仿宋" w:hAnsi="仿宋" w:eastAsia="仿宋" w:cstheme="minorBidi"/>
          <w:kern w:val="2"/>
          <w:sz w:val="32"/>
          <w:szCs w:val="32"/>
          <w:highlight w:val="none"/>
          <w:lang w:val="en-US" w:eastAsia="zh-CN" w:bidi="ar-SA"/>
        </w:rPr>
        <w:t>老城区香玉（英雄北）路（魏紫路至琴书路段）建设工程于2023年1月16日竣工验收，工程合同总金额为5190727.21元。根据合同约定，项目整体工程量全部完成后建设单位需支付至合同总价款的97%，截至2023年11月底，此工程实际拨付工程款1000000元，支付金额仅为合同总金额的19%，建设单位未按合同约定及时支付进度款。</w:t>
      </w:r>
    </w:p>
    <w:p>
      <w:pPr>
        <w:pStyle w:val="2"/>
        <w:keepNext w:val="0"/>
        <w:keepLines w:val="0"/>
        <w:pageBreakBefore w:val="0"/>
        <w:widowControl w:val="0"/>
        <w:kinsoku/>
        <w:wordWrap/>
        <w:overflowPunct/>
        <w:topLinePunct w:val="0"/>
        <w:autoSpaceDE/>
        <w:autoSpaceDN/>
        <w:bidi w:val="0"/>
        <w:adjustRightInd/>
        <w:snapToGrid/>
        <w:spacing w:line="608" w:lineRule="exact"/>
        <w:ind w:firstLine="480"/>
        <w:textAlignment w:val="auto"/>
        <w:rPr>
          <w:rFonts w:hint="eastAsia" w:ascii="楷体" w:hAnsi="楷体" w:eastAsia="楷体" w:cs="楷体"/>
          <w:kern w:val="2"/>
          <w:sz w:val="32"/>
          <w:szCs w:val="32"/>
          <w:highlight w:val="none"/>
          <w:lang w:val="en-US" w:eastAsia="zh-CN" w:bidi="ar-SA"/>
        </w:rPr>
      </w:pPr>
      <w:r>
        <w:rPr>
          <w:rFonts w:hint="eastAsia" w:ascii="楷体" w:hAnsi="楷体" w:eastAsia="楷体" w:cs="楷体"/>
          <w:kern w:val="2"/>
          <w:sz w:val="32"/>
          <w:szCs w:val="32"/>
          <w:highlight w:val="none"/>
          <w:lang w:val="en-US" w:eastAsia="zh-CN" w:bidi="ar-SA"/>
        </w:rPr>
        <w:t>（四</w:t>
      </w:r>
      <w:bookmarkStart w:id="0" w:name="_GoBack"/>
      <w:bookmarkEnd w:id="0"/>
      <w:r>
        <w:rPr>
          <w:rFonts w:hint="eastAsia" w:ascii="楷体" w:hAnsi="楷体" w:eastAsia="楷体" w:cs="楷体"/>
          <w:kern w:val="2"/>
          <w:sz w:val="32"/>
          <w:szCs w:val="32"/>
          <w:highlight w:val="none"/>
          <w:lang w:val="en-US" w:eastAsia="zh-CN" w:bidi="ar-SA"/>
        </w:rPr>
        <w:t>）未编制竣工财务决算</w:t>
      </w:r>
    </w:p>
    <w:p>
      <w:pPr>
        <w:pStyle w:val="2"/>
        <w:keepNext w:val="0"/>
        <w:keepLines w:val="0"/>
        <w:pageBreakBefore w:val="0"/>
        <w:widowControl w:val="0"/>
        <w:kinsoku/>
        <w:wordWrap/>
        <w:overflowPunct/>
        <w:topLinePunct w:val="0"/>
        <w:autoSpaceDE/>
        <w:autoSpaceDN/>
        <w:bidi w:val="0"/>
        <w:adjustRightInd/>
        <w:snapToGrid/>
        <w:spacing w:line="608" w:lineRule="exact"/>
        <w:ind w:firstLine="480"/>
        <w:textAlignment w:val="auto"/>
        <w:rPr>
          <w:rFonts w:hint="eastAsia" w:ascii="Times New Roman" w:hAnsi="Times New Roman"/>
          <w:sz w:val="24"/>
          <w:lang w:val="en-US" w:eastAsia="zh-CN"/>
        </w:rPr>
      </w:pPr>
      <w:r>
        <w:rPr>
          <w:rFonts w:hint="eastAsia" w:ascii="仿宋" w:hAnsi="仿宋" w:eastAsia="仿宋" w:cstheme="minorBidi"/>
          <w:kern w:val="2"/>
          <w:sz w:val="32"/>
          <w:szCs w:val="32"/>
          <w:highlight w:val="none"/>
          <w:lang w:val="en-US" w:eastAsia="zh-CN" w:bidi="ar-SA"/>
        </w:rPr>
        <w:t>根据《基本建设项目竣工财务决算管理暂行办法 》要求，基本建设项目完工可投入使用或者试运行合格后，应及时编制竣工财务决算，该项目于2023年1月投入使用，截至2023年11月底老城区住房和城乡建设局仍未编制此项目竣工财务决算。</w:t>
      </w:r>
    </w:p>
    <w:p>
      <w:pPr>
        <w:keepNext w:val="0"/>
        <w:keepLines w:val="0"/>
        <w:pageBreakBefore w:val="0"/>
        <w:widowControl w:val="0"/>
        <w:kinsoku/>
        <w:wordWrap/>
        <w:overflowPunct/>
        <w:topLinePunct w:val="0"/>
        <w:autoSpaceDE/>
        <w:autoSpaceDN/>
        <w:bidi w:val="0"/>
        <w:adjustRightInd/>
        <w:snapToGrid/>
        <w:spacing w:line="608" w:lineRule="exact"/>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rPr>
        <w:t>四、审计</w:t>
      </w:r>
      <w:r>
        <w:rPr>
          <w:rFonts w:hint="eastAsia" w:ascii="黑体" w:hAnsi="黑体" w:eastAsia="黑体"/>
          <w:sz w:val="32"/>
          <w:szCs w:val="32"/>
          <w:highlight w:val="none"/>
          <w:lang w:eastAsia="zh-CN"/>
        </w:rPr>
        <w:t>处理及整改情况</w:t>
      </w:r>
    </w:p>
    <w:p>
      <w:pPr>
        <w:pStyle w:val="2"/>
        <w:numPr>
          <w:ilvl w:val="0"/>
          <w:numId w:val="0"/>
        </w:numPr>
        <w:ind w:firstLine="420" w:firstLineChars="200"/>
        <w:rPr>
          <w:rFonts w:hint="default"/>
          <w:lang w:val="en-US" w:eastAsia="zh-CN"/>
        </w:rPr>
      </w:pPr>
      <w:r>
        <w:rPr>
          <w:rFonts w:hint="eastAsia"/>
          <w:lang w:val="en-US" w:eastAsia="zh-CN"/>
        </w:rPr>
        <w:t xml:space="preserve"> </w:t>
      </w:r>
      <w:r>
        <w:rPr>
          <w:rFonts w:hint="eastAsia" w:ascii="仿宋" w:hAnsi="仿宋" w:eastAsia="仿宋" w:cs="仿宋"/>
          <w:sz w:val="32"/>
          <w:szCs w:val="32"/>
          <w:lang w:val="en-US" w:eastAsia="zh-CN"/>
        </w:rPr>
        <w:t>对于上述问题，老城区审计局已依法出具审计报告，并提出处理意见和整改建议。老城区住建局对审计发现问题正在认真组织整改。</w:t>
      </w:r>
    </w:p>
    <w:p>
      <w:pPr>
        <w:keepNext w:val="0"/>
        <w:keepLines w:val="0"/>
        <w:pageBreakBefore w:val="0"/>
        <w:kinsoku/>
        <w:wordWrap/>
        <w:overflowPunct/>
        <w:topLinePunct w:val="0"/>
        <w:autoSpaceDE/>
        <w:autoSpaceDN/>
        <w:bidi w:val="0"/>
        <w:adjustRightInd/>
        <w:snapToGrid/>
        <w:spacing w:beforeLines="0" w:afterLines="0" w:line="240" w:lineRule="auto"/>
        <w:ind w:right="0" w:rightChars="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w:t>
      </w:r>
    </w:p>
    <w:p>
      <w:pPr>
        <w:rPr>
          <w:rFonts w:hint="default" w:ascii="仿宋" w:hAnsi="仿宋" w:eastAsia="仿宋"/>
          <w:sz w:val="32"/>
          <w:szCs w:val="32"/>
          <w:highlight w:val="none"/>
          <w:lang w:val="en-US" w:eastAsia="zh-CN"/>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YTNlNWQ1NGVhN2FlZTljOWFkZWE4MjM3YTU2YzcifQ=="/>
  </w:docVars>
  <w:rsids>
    <w:rsidRoot w:val="13FB4EF7"/>
    <w:rsid w:val="01310D6D"/>
    <w:rsid w:val="03D343E1"/>
    <w:rsid w:val="07D54A4E"/>
    <w:rsid w:val="0A2B73CC"/>
    <w:rsid w:val="12C3479F"/>
    <w:rsid w:val="13FB4EF7"/>
    <w:rsid w:val="355A7262"/>
    <w:rsid w:val="414D14F4"/>
    <w:rsid w:val="42BF47C9"/>
    <w:rsid w:val="539D6365"/>
    <w:rsid w:val="5780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ody Text"/>
    <w:basedOn w:val="1"/>
    <w:next w:val="1"/>
    <w:autoRedefine/>
    <w:qFormat/>
    <w:uiPriority w:val="0"/>
    <w:pPr>
      <w:ind w:right="214"/>
    </w:pPr>
    <w:rPr>
      <w:rFonts w:ascii="仿宋_GB2312"/>
    </w:rPr>
  </w:style>
  <w:style w:type="paragraph" w:styleId="4">
    <w:name w:val="Body Text Indent"/>
    <w:basedOn w:val="1"/>
    <w:autoRedefine/>
    <w:qFormat/>
    <w:uiPriority w:val="0"/>
    <w:pPr>
      <w:ind w:firstLine="540"/>
    </w:pPr>
    <w:rPr>
      <w:sz w:val="30"/>
    </w:r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next w:val="8"/>
    <w:autoRedefine/>
    <w:qFormat/>
    <w:uiPriority w:val="0"/>
    <w:pPr>
      <w:snapToGrid w:val="0"/>
      <w:jc w:val="left"/>
    </w:pPr>
    <w:rPr>
      <w:sz w:val="18"/>
      <w:szCs w:val="18"/>
    </w:rPr>
  </w:style>
  <w:style w:type="paragraph" w:styleId="8">
    <w:name w:val="Body Text First Indent 2"/>
    <w:basedOn w:val="4"/>
    <w:next w:val="9"/>
    <w:autoRedefine/>
    <w:qFormat/>
    <w:uiPriority w:val="0"/>
    <w:pPr>
      <w:ind w:firstLine="420" w:firstLineChars="200"/>
    </w:pPr>
  </w:style>
  <w:style w:type="paragraph" w:styleId="9">
    <w:name w:val="Body Text First Indent"/>
    <w:basedOn w:val="3"/>
    <w:autoRedefine/>
    <w:unhideWhenUsed/>
    <w:qFormat/>
    <w:uiPriority w:val="99"/>
    <w:pPr>
      <w:spacing w:before="0" w:beforeAutospacing="0" w:after="120" w:afterAutospacing="0"/>
      <w:ind w:right="0" w:firstLine="420" w:firstLineChars="100"/>
    </w:pPr>
    <w:rPr>
      <w:rFonts w:ascii="Calibri" w:hAnsi="Calibri" w:eastAsia="宋体" w:cs="宋体"/>
    </w:rPr>
  </w:style>
  <w:style w:type="paragraph" w:styleId="10">
    <w:name w:val="Body Text Indent 3"/>
    <w:basedOn w:val="1"/>
    <w:autoRedefine/>
    <w:unhideWhenUsed/>
    <w:qFormat/>
    <w:uiPriority w:val="99"/>
    <w:pPr>
      <w:spacing w:before="100" w:beforeAutospacing="1" w:after="120"/>
      <w:ind w:left="420" w:leftChars="200"/>
    </w:pPr>
    <w:rPr>
      <w:rFonts w:eastAsia="仿宋_GB2312"/>
      <w:sz w:val="16"/>
      <w:szCs w:val="16"/>
    </w:rPr>
  </w:style>
  <w:style w:type="paragraph" w:customStyle="1" w:styleId="13">
    <w:name w:val="列出段落1"/>
    <w:basedOn w:val="1"/>
    <w:autoRedefine/>
    <w:qFormat/>
    <w:uiPriority w:val="0"/>
    <w:pPr>
      <w:widowControl/>
      <w:ind w:firstLine="420" w:firstLineChars="200"/>
      <w:jc w:val="left"/>
    </w:pPr>
    <w:rPr>
      <w:rFonts w:ascii="宋体" w:hAnsi="宋体" w:cs="宋体"/>
      <w:kern w:val="0"/>
      <w:sz w:val="24"/>
    </w:rPr>
  </w:style>
  <w:style w:type="character" w:customStyle="1" w:styleId="14">
    <w:name w:val="15"/>
    <w:basedOn w:val="12"/>
    <w:autoRedefine/>
    <w:qFormat/>
    <w:uiPriority w:val="0"/>
    <w:rPr>
      <w:rFonts w:hint="default" w:ascii="Calibri" w:hAnsi="Calibri" w:eastAsia="仿宋_GB2312"/>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2023-12-14T02:07:00Z</dcterms:created>
  <dc:creator>Administrator</dc:creator>
  <cp:lastModifiedBy>Administrator</cp:lastModifiedBy>
  <cp:lastPrinted>2023-12-18T03:48:00Z</cp:lastPrinted>
  <dcterms:modified xsi:type="dcterms:W3CDTF">2023-12-26T03:25:46Z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A2CB30D81DBA42FEAE92E0CDECCB7D75_13</vt:lpwstr>
  </property>
</Properties>
</file>