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bookmarkStart w:id="0" w:name="_GoBack"/>
      <w:bookmarkEnd w:id="0"/>
      <w:r>
        <w:rPr>
          <w:rFonts w:hint="eastAsia" w:ascii="宋体" w:hAnsi="宋体" w:eastAsia="宋体" w:cs="宋体"/>
          <w:sz w:val="44"/>
          <w:szCs w:val="44"/>
          <w:lang w:eastAsia="zh-CN"/>
        </w:rPr>
        <w:t>老城区审计局结果公告</w:t>
      </w:r>
    </w:p>
    <w:p>
      <w:pPr>
        <w:pStyle w:val="2"/>
        <w:ind w:firstLine="2240" w:firstLineChars="700"/>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（二〇二三年</w:t>
      </w:r>
      <w:r>
        <w:rPr>
          <w:rFonts w:hint="eastAsia" w:ascii="宋体" w:hAnsi="宋体" w:eastAsia="宋体" w:cs="宋体"/>
          <w:sz w:val="32"/>
          <w:szCs w:val="32"/>
          <w:lang w:val="en-US" w:eastAsia="zh-CN"/>
        </w:rPr>
        <w:t>十二</w:t>
      </w:r>
      <w:r>
        <w:rPr>
          <w:rFonts w:hint="eastAsia" w:ascii="宋体" w:hAnsi="宋体" w:eastAsia="宋体" w:cs="宋体"/>
          <w:sz w:val="32"/>
          <w:szCs w:val="32"/>
          <w:lang w:eastAsia="zh-CN"/>
        </w:rPr>
        <w:t>月二十二日）</w:t>
      </w:r>
    </w:p>
    <w:p>
      <w:pPr>
        <w:pStyle w:val="2"/>
        <w:ind w:firstLine="3520" w:firstLineChars="11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2023年第2号</w:t>
      </w:r>
    </w:p>
    <w:p>
      <w:pPr>
        <w:pStyle w:val="2"/>
        <w:ind w:firstLine="3520" w:firstLineChars="1100"/>
        <w:jc w:val="both"/>
        <w:rPr>
          <w:rFonts w:hint="eastAsia" w:ascii="宋体" w:hAnsi="宋体" w:eastAsia="宋体" w:cs="宋体"/>
          <w:sz w:val="32"/>
          <w:szCs w:val="32"/>
          <w:lang w:val="en-US" w:eastAsia="zh-CN"/>
        </w:rPr>
      </w:pPr>
    </w:p>
    <w:p>
      <w:pPr>
        <w:pStyle w:val="2"/>
        <w:jc w:val="center"/>
        <w:rPr>
          <w:rFonts w:hint="eastAsia" w:ascii="宋体" w:hAnsi="宋体" w:eastAsia="宋体" w:cs="宋体"/>
          <w:sz w:val="32"/>
          <w:szCs w:val="32"/>
          <w:lang w:val="en-US" w:eastAsia="zh-CN"/>
        </w:rPr>
      </w:pPr>
      <w:r>
        <w:rPr>
          <w:rFonts w:hint="eastAsia" w:ascii="宋体" w:hAnsi="宋体" w:eastAsia="宋体" w:cs="宋体"/>
        </w:rPr>
        <w:t>老城区教育体育局</w:t>
      </w:r>
      <w:r>
        <w:rPr>
          <w:rFonts w:hint="eastAsia" w:ascii="宋体" w:hAnsi="宋体" w:eastAsia="宋体" w:cs="宋体"/>
          <w:szCs w:val="32"/>
        </w:rPr>
        <w:t>2022年度预算执行和其他财政收支情况</w:t>
      </w:r>
      <w:r>
        <w:rPr>
          <w:rFonts w:hint="eastAsia" w:ascii="宋体" w:hAnsi="宋体" w:eastAsia="宋体" w:cs="宋体"/>
          <w:szCs w:val="32"/>
          <w:lang w:eastAsia="zh-CN"/>
        </w:rPr>
        <w:t>审计结果公告</w:t>
      </w:r>
    </w:p>
    <w:p>
      <w:pPr>
        <w:jc w:val="center"/>
        <w:outlineLvl w:val="0"/>
        <w:rPr>
          <w:rFonts w:hint="eastAsia" w:eastAsia="楷体_GB2312" w:cs="楷体_GB2312"/>
        </w:rPr>
      </w:pPr>
    </w:p>
    <w:p>
      <w:pPr>
        <w:adjustRightInd w:val="0"/>
        <w:rPr>
          <w:szCs w:val="32"/>
        </w:rPr>
      </w:pPr>
      <w:r>
        <w:rPr>
          <w:rFonts w:eastAsia="楷体_GB2312"/>
          <w:szCs w:val="32"/>
        </w:rPr>
        <w:t xml:space="preserve">    </w:t>
      </w:r>
      <w:r>
        <w:t>根据《中华人民共和国审计法》第十八条规定，</w:t>
      </w:r>
      <w:r>
        <w:rPr>
          <w:rFonts w:hint="eastAsia"/>
        </w:rPr>
        <w:t>老城区</w:t>
      </w:r>
      <w:r>
        <w:t>审计局</w:t>
      </w:r>
      <w:r>
        <w:rPr>
          <w:rFonts w:hint="eastAsia"/>
          <w:lang w:eastAsia="zh-CN"/>
        </w:rPr>
        <w:t>对</w:t>
      </w:r>
      <w:r>
        <w:rPr>
          <w:rFonts w:hint="eastAsia"/>
        </w:rPr>
        <w:t>区教育体育局</w:t>
      </w:r>
      <w:r>
        <w:rPr>
          <w:szCs w:val="32"/>
        </w:rPr>
        <w:t>2022年度预算执行和其他财政收支情况进行了审计，</w:t>
      </w:r>
      <w:r>
        <w:rPr>
          <w:rFonts w:hint="eastAsia" w:ascii="仿宋" w:hAnsi="仿宋" w:eastAsia="仿宋" w:cs="仿宋"/>
          <w:b w:val="0"/>
          <w:color w:val="auto"/>
          <w:kern w:val="2"/>
          <w:sz w:val="32"/>
          <w:szCs w:val="32"/>
          <w:highlight w:val="none"/>
          <w:lang w:val="en-US" w:eastAsia="zh-CN" w:bidi="ar-SA"/>
        </w:rPr>
        <w:t>现将审计结果公告如下：</w:t>
      </w:r>
    </w:p>
    <w:p>
      <w:pPr>
        <w:pStyle w:val="27"/>
        <w:ind w:firstLine="640" w:firstLineChars="200"/>
        <w:outlineLvl w:val="0"/>
        <w:rPr>
          <w:rFonts w:ascii="Times New Roman"/>
          <w:kern w:val="2"/>
        </w:rPr>
      </w:pPr>
      <w:r>
        <w:rPr>
          <w:rFonts w:ascii="Times New Roman"/>
          <w:kern w:val="2"/>
        </w:rPr>
        <w:t>一、基本情况</w:t>
      </w:r>
    </w:p>
    <w:p>
      <w:pPr>
        <w:pStyle w:val="2"/>
        <w:ind w:firstLine="640"/>
      </w:pPr>
      <w:r>
        <w:rPr>
          <w:rFonts w:hint="eastAsia"/>
        </w:rPr>
        <w:t>区教育体育局</w:t>
      </w:r>
      <w:r>
        <w:t>是</w:t>
      </w:r>
      <w:r>
        <w:rPr>
          <w:rFonts w:hint="eastAsia"/>
        </w:rPr>
        <w:t>老城区</w:t>
      </w:r>
      <w:r>
        <w:t>人民政府组成部门，主要负责</w:t>
      </w:r>
      <w:r>
        <w:rPr>
          <w:rFonts w:hint="eastAsia"/>
        </w:rPr>
        <w:t>贯彻落实国家教育、体育工作方针、政策；管理全区基础教育、特殊教育、幼儿教育；研究提出全区教育改革与发展战略、教育事业发展规划及年度计划；指导全区体育工作，推行全民健身计划；主管全区教师工作</w:t>
      </w:r>
      <w:r>
        <w:t>等。</w:t>
      </w:r>
    </w:p>
    <w:p>
      <w:pPr>
        <w:pStyle w:val="2"/>
        <w:ind w:firstLine="640"/>
        <w:rPr>
          <w:lang w:val="en-GB"/>
        </w:rPr>
      </w:pPr>
      <w:r>
        <w:rPr>
          <w:rFonts w:hint="eastAsia"/>
        </w:rPr>
        <w:t>根据区教育体育局会计报表反映，</w:t>
      </w:r>
      <w:r>
        <w:t>202</w:t>
      </w:r>
      <w:r>
        <w:rPr>
          <w:rFonts w:hint="eastAsia"/>
        </w:rPr>
        <w:t>2</w:t>
      </w:r>
      <w:r>
        <w:rPr>
          <w:lang w:val="en-GB"/>
        </w:rPr>
        <w:t>年</w:t>
      </w:r>
      <w:r>
        <w:rPr>
          <w:rFonts w:hint="eastAsia"/>
        </w:rPr>
        <w:t>区教育体育局</w:t>
      </w:r>
      <w:r>
        <w:t>年初预算收入</w:t>
      </w:r>
      <w:r>
        <w:rPr>
          <w:rFonts w:hint="eastAsia"/>
        </w:rPr>
        <w:t>37707400</w:t>
      </w:r>
      <w:r>
        <w:t>元。其中：上年结转</w:t>
      </w:r>
      <w:r>
        <w:rPr>
          <w:rFonts w:hint="eastAsia"/>
        </w:rPr>
        <w:t>24074200</w:t>
      </w:r>
      <w:r>
        <w:t>元</w:t>
      </w:r>
      <w:r>
        <w:rPr>
          <w:rFonts w:hint="eastAsia"/>
        </w:rPr>
        <w:t>，</w:t>
      </w:r>
      <w:r>
        <w:t>本年一般公共预算收入</w:t>
      </w:r>
      <w:r>
        <w:rPr>
          <w:rFonts w:hint="eastAsia"/>
        </w:rPr>
        <w:t>13633200</w:t>
      </w:r>
      <w:r>
        <w:t>元。</w:t>
      </w:r>
      <w:r>
        <w:rPr>
          <w:rFonts w:hint="eastAsia"/>
        </w:rPr>
        <w:t>2022年区教育体育局决算收入18717926.50元（财政拨款收入），决算</w:t>
      </w:r>
      <w:r>
        <w:rPr>
          <w:lang w:val="en-GB"/>
        </w:rPr>
        <w:t>支出</w:t>
      </w:r>
      <w:r>
        <w:rPr>
          <w:rFonts w:hint="eastAsia"/>
        </w:rPr>
        <w:t>18717926.50</w:t>
      </w:r>
      <w:r>
        <w:rPr>
          <w:lang w:val="en-GB"/>
        </w:rPr>
        <w:t>元。其中：工资福利支出</w:t>
      </w:r>
      <w:r>
        <w:rPr>
          <w:rFonts w:hint="eastAsia"/>
        </w:rPr>
        <w:t>4124652.44</w:t>
      </w:r>
      <w:r>
        <w:rPr>
          <w:lang w:val="en-GB"/>
        </w:rPr>
        <w:t>元，商品和服务支出</w:t>
      </w:r>
      <w:r>
        <w:rPr>
          <w:rFonts w:hint="eastAsia"/>
        </w:rPr>
        <w:t>1483407.50</w:t>
      </w:r>
      <w:r>
        <w:rPr>
          <w:lang w:val="en-GB"/>
        </w:rPr>
        <w:t>元，对个人和家庭的补助</w:t>
      </w:r>
      <w:r>
        <w:rPr>
          <w:rFonts w:hint="eastAsia"/>
        </w:rPr>
        <w:t>2594819.50</w:t>
      </w:r>
      <w:r>
        <w:rPr>
          <w:lang w:val="en-GB"/>
        </w:rPr>
        <w:t>元，资本性支出</w:t>
      </w:r>
      <w:r>
        <w:rPr>
          <w:rFonts w:hint="eastAsia"/>
        </w:rPr>
        <w:t>7857047.06</w:t>
      </w:r>
      <w:r>
        <w:rPr>
          <w:lang w:val="en-GB"/>
        </w:rPr>
        <w:t>元</w:t>
      </w:r>
      <w:r>
        <w:rPr>
          <w:rFonts w:hint="eastAsia"/>
          <w:lang w:val="en-GB"/>
        </w:rPr>
        <w:t>，对企业补助</w:t>
      </w:r>
      <w:r>
        <w:rPr>
          <w:rFonts w:hint="eastAsia"/>
        </w:rPr>
        <w:t>2658000元</w:t>
      </w:r>
      <w:r>
        <w:rPr>
          <w:lang w:val="en-GB"/>
        </w:rPr>
        <w:t>。</w:t>
      </w:r>
    </w:p>
    <w:p>
      <w:pPr>
        <w:pStyle w:val="27"/>
        <w:ind w:firstLine="640" w:firstLineChars="200"/>
        <w:outlineLvl w:val="0"/>
        <w:rPr>
          <w:rFonts w:ascii="Times New Roman"/>
          <w:kern w:val="2"/>
        </w:rPr>
      </w:pPr>
      <w:r>
        <w:rPr>
          <w:rFonts w:ascii="Times New Roman"/>
          <w:kern w:val="2"/>
        </w:rPr>
        <w:t>二、审计评价意见</w:t>
      </w:r>
    </w:p>
    <w:p>
      <w:pPr>
        <w:ind w:firstLine="648" w:firstLineChars="200"/>
        <w:rPr>
          <w:szCs w:val="32"/>
        </w:rPr>
      </w:pPr>
      <w:r>
        <w:rPr>
          <w:rFonts w:hint="eastAsia"/>
          <w:spacing w:val="2"/>
        </w:rPr>
        <w:t>审计结果表明：区教育体育局提供的会计资料及其他相关材料真实地反映了单位财政财务收支状况，会计处理基本符合相关的会计制度，但也存在一些问题，需要进一步改正和规范。</w:t>
      </w:r>
    </w:p>
    <w:p>
      <w:pPr>
        <w:pStyle w:val="27"/>
        <w:ind w:firstLine="640" w:firstLineChars="200"/>
        <w:outlineLvl w:val="0"/>
        <w:rPr>
          <w:rFonts w:hint="eastAsia" w:ascii="Times New Roman"/>
          <w:kern w:val="2"/>
        </w:rPr>
      </w:pPr>
      <w:r>
        <w:rPr>
          <w:rFonts w:ascii="Times New Roman"/>
          <w:kern w:val="2"/>
        </w:rPr>
        <w:t>三、审计发现的主要问题</w:t>
      </w:r>
    </w:p>
    <w:p>
      <w:pPr>
        <w:ind w:firstLine="651" w:firstLineChars="200"/>
        <w:rPr>
          <w:rFonts w:hint="eastAsia"/>
          <w:b/>
          <w:bCs/>
          <w:spacing w:val="2"/>
        </w:rPr>
      </w:pPr>
      <w:r>
        <w:rPr>
          <w:rFonts w:hint="eastAsia"/>
          <w:b/>
          <w:bCs/>
          <w:spacing w:val="2"/>
          <w:lang w:eastAsia="zh-CN"/>
        </w:rPr>
        <w:t>（一）</w:t>
      </w:r>
      <w:r>
        <w:rPr>
          <w:b/>
          <w:bCs/>
          <w:spacing w:val="2"/>
        </w:rPr>
        <w:t>课后延时服务日常监督管理不到位</w:t>
      </w:r>
    </w:p>
    <w:p>
      <w:pPr>
        <w:ind w:firstLine="648" w:firstLineChars="200"/>
        <w:rPr>
          <w:rFonts w:hint="eastAsia" w:ascii="仿宋_GB2312" w:hAnsi="仿宋" w:cs="宋体"/>
          <w:color w:val="333333"/>
          <w:kern w:val="0"/>
          <w:szCs w:val="32"/>
        </w:rPr>
      </w:pPr>
      <w:r>
        <w:rPr>
          <w:spacing w:val="2"/>
        </w:rPr>
        <w:t>老城区开展课后服务中小学校，未将课后服务费收入计入其他收入</w:t>
      </w:r>
      <w:r>
        <w:rPr>
          <w:rFonts w:hint="eastAsia"/>
          <w:spacing w:val="2"/>
        </w:rPr>
        <w:t>；部分</w:t>
      </w:r>
      <w:r>
        <w:rPr>
          <w:spacing w:val="2"/>
        </w:rPr>
        <w:t>中小</w:t>
      </w:r>
      <w:r>
        <w:rPr>
          <w:rFonts w:hint="eastAsia"/>
          <w:spacing w:val="2"/>
        </w:rPr>
        <w:t>学校</w:t>
      </w:r>
      <w:r>
        <w:rPr>
          <w:spacing w:val="2"/>
        </w:rPr>
        <w:t>未按要求建立课后服务纸质账簿</w:t>
      </w:r>
      <w:r>
        <w:rPr>
          <w:rFonts w:hint="eastAsia"/>
          <w:spacing w:val="2"/>
        </w:rPr>
        <w:t>；个</w:t>
      </w:r>
      <w:r>
        <w:rPr>
          <w:rFonts w:hint="eastAsia" w:ascii="仿宋_GB2312" w:hAnsi="仿宋" w:cs="宋体"/>
          <w:color w:val="333333"/>
          <w:kern w:val="0"/>
          <w:szCs w:val="32"/>
        </w:rPr>
        <w:t>别学校将</w:t>
      </w:r>
      <w:r>
        <w:rPr>
          <w:spacing w:val="2"/>
        </w:rPr>
        <w:t>课后延时服务费</w:t>
      </w:r>
      <w:r>
        <w:rPr>
          <w:rFonts w:hint="eastAsia" w:ascii="仿宋_GB2312" w:hAnsi="仿宋" w:cs="宋体"/>
          <w:color w:val="333333"/>
          <w:kern w:val="0"/>
          <w:szCs w:val="32"/>
        </w:rPr>
        <w:t>用于教师代课费、教师批卷补助、值班加班费等非延时服务内容</w:t>
      </w:r>
      <w:r>
        <w:rPr>
          <w:rFonts w:hint="eastAsia"/>
          <w:spacing w:val="2"/>
        </w:rPr>
        <w:t>以及课后服务费通过教师个人微信钱包存放。</w:t>
      </w:r>
    </w:p>
    <w:p>
      <w:pPr>
        <w:ind w:firstLine="651" w:firstLineChars="200"/>
        <w:rPr>
          <w:b/>
          <w:bCs/>
          <w:spacing w:val="2"/>
        </w:rPr>
      </w:pPr>
      <w:r>
        <w:rPr>
          <w:rFonts w:hint="eastAsia"/>
          <w:b/>
          <w:bCs/>
          <w:spacing w:val="2"/>
          <w:lang w:eastAsia="zh-CN"/>
        </w:rPr>
        <w:t>（二）</w:t>
      </w:r>
      <w:r>
        <w:rPr>
          <w:b/>
          <w:bCs/>
          <w:spacing w:val="2"/>
        </w:rPr>
        <w:t>专项资金长期闲置</w:t>
      </w:r>
    </w:p>
    <w:p>
      <w:pPr>
        <w:ind w:firstLine="648" w:firstLineChars="200"/>
        <w:rPr>
          <w:spacing w:val="2"/>
        </w:rPr>
      </w:pPr>
      <w:r>
        <w:rPr>
          <w:rFonts w:hint="eastAsia"/>
          <w:spacing w:val="2"/>
        </w:rPr>
        <w:t>区教育体育局</w:t>
      </w:r>
      <w:r>
        <w:rPr>
          <w:spacing w:val="2"/>
        </w:rPr>
        <w:t>专项资金大部分处于沉淀状态，未能发挥应有作用。</w:t>
      </w:r>
    </w:p>
    <w:p>
      <w:pPr>
        <w:ind w:firstLine="651" w:firstLineChars="200"/>
        <w:rPr>
          <w:b/>
          <w:bCs/>
          <w:spacing w:val="2"/>
        </w:rPr>
      </w:pPr>
      <w:r>
        <w:rPr>
          <w:rFonts w:hint="eastAsia"/>
          <w:b/>
          <w:bCs/>
          <w:spacing w:val="2"/>
          <w:lang w:eastAsia="zh-CN"/>
        </w:rPr>
        <w:t>（三）</w:t>
      </w:r>
      <w:r>
        <w:rPr>
          <w:b/>
          <w:bCs/>
          <w:spacing w:val="2"/>
        </w:rPr>
        <w:t>教育督导管理平台闲置</w:t>
      </w:r>
      <w:r>
        <w:rPr>
          <w:rFonts w:hint="eastAsia"/>
          <w:b/>
          <w:bCs/>
          <w:spacing w:val="2"/>
        </w:rPr>
        <w:t>浪费</w:t>
      </w:r>
    </w:p>
    <w:p>
      <w:pPr>
        <w:pStyle w:val="2"/>
        <w:ind w:firstLine="648"/>
        <w:rPr>
          <w:spacing w:val="2"/>
        </w:rPr>
      </w:pPr>
      <w:r>
        <w:rPr>
          <w:spacing w:val="2"/>
        </w:rPr>
        <w:t>区教育体育局于2019年初通过公开招标方式，由中标单位北京国展</w:t>
      </w:r>
      <w:r>
        <w:rPr>
          <w:rFonts w:hint="eastAsia"/>
          <w:spacing w:val="2"/>
        </w:rPr>
        <w:t>教育科技</w:t>
      </w:r>
      <w:r>
        <w:rPr>
          <w:spacing w:val="2"/>
        </w:rPr>
        <w:t>公司</w:t>
      </w:r>
      <w:r>
        <w:rPr>
          <w:rFonts w:hint="eastAsia"/>
          <w:spacing w:val="2"/>
        </w:rPr>
        <w:t>负责</w:t>
      </w:r>
      <w:r>
        <w:rPr>
          <w:spacing w:val="2"/>
        </w:rPr>
        <w:t>搭建老城区教育督导管理平台。2019年7月31日，教育督导管理平台搭建完成。由于区教育体育局教育督导队伍人员调整较大、平台管理技能培训欠缺等原因，</w:t>
      </w:r>
      <w:r>
        <w:rPr>
          <w:rFonts w:hint="eastAsia"/>
          <w:spacing w:val="2"/>
        </w:rPr>
        <w:t>导致</w:t>
      </w:r>
      <w:r>
        <w:rPr>
          <w:spacing w:val="2"/>
        </w:rPr>
        <w:t>教育督导管理平台</w:t>
      </w:r>
      <w:r>
        <w:rPr>
          <w:rFonts w:hint="eastAsia"/>
          <w:spacing w:val="2"/>
        </w:rPr>
        <w:t>自</w:t>
      </w:r>
      <w:r>
        <w:rPr>
          <w:spacing w:val="2"/>
        </w:rPr>
        <w:t>2021年之后长期处于闲置状态，</w:t>
      </w:r>
      <w:r>
        <w:rPr>
          <w:rFonts w:hint="eastAsia"/>
          <w:spacing w:val="2"/>
        </w:rPr>
        <w:t>平台</w:t>
      </w:r>
      <w:r>
        <w:rPr>
          <w:spacing w:val="2"/>
        </w:rPr>
        <w:t>利用不充分，使用效果不佳，造成国有资产浪费。</w:t>
      </w:r>
    </w:p>
    <w:p>
      <w:pPr>
        <w:ind w:firstLine="651" w:firstLineChars="200"/>
        <w:rPr>
          <w:b/>
          <w:bCs/>
          <w:spacing w:val="2"/>
        </w:rPr>
      </w:pPr>
      <w:r>
        <w:rPr>
          <w:rFonts w:hint="eastAsia"/>
          <w:b/>
          <w:bCs/>
          <w:spacing w:val="2"/>
          <w:lang w:eastAsia="zh-CN"/>
        </w:rPr>
        <w:t>（四）</w:t>
      </w:r>
      <w:r>
        <w:rPr>
          <w:b/>
          <w:bCs/>
          <w:spacing w:val="2"/>
        </w:rPr>
        <w:t>固定资产未及时入账</w:t>
      </w:r>
    </w:p>
    <w:p>
      <w:pPr>
        <w:ind w:firstLine="648" w:firstLineChars="200"/>
        <w:rPr>
          <w:spacing w:val="2"/>
        </w:rPr>
      </w:pPr>
      <w:r>
        <w:rPr>
          <w:rFonts w:hint="eastAsia"/>
          <w:spacing w:val="2"/>
        </w:rPr>
        <w:t>经审核</w:t>
      </w:r>
      <w:r>
        <w:rPr>
          <w:spacing w:val="2"/>
        </w:rPr>
        <w:t>，</w:t>
      </w:r>
      <w:r>
        <w:rPr>
          <w:rFonts w:hint="eastAsia"/>
          <w:spacing w:val="2"/>
        </w:rPr>
        <w:t>区教育体育局</w:t>
      </w:r>
      <w:r>
        <w:rPr>
          <w:spacing w:val="2"/>
        </w:rPr>
        <w:t>为洛阳市第十八中学改造提升项目采购的厨房设备于2020年10月30日验收合格入库，2022年4月25日支付采购款时计入固定资产；</w:t>
      </w:r>
      <w:r>
        <w:rPr>
          <w:rFonts w:hint="eastAsia"/>
          <w:spacing w:val="2"/>
        </w:rPr>
        <w:t>区教育体育局</w:t>
      </w:r>
      <w:r>
        <w:rPr>
          <w:spacing w:val="2"/>
        </w:rPr>
        <w:t>为老城区招生考试中心采购的办公家具于2021年7月30日验收合格入库，2022年9月22日支付采购款时计入固定资产。</w:t>
      </w:r>
    </w:p>
    <w:p>
      <w:pPr>
        <w:ind w:firstLine="651" w:firstLineChars="200"/>
        <w:rPr>
          <w:b/>
          <w:bCs/>
          <w:spacing w:val="2"/>
        </w:rPr>
      </w:pPr>
      <w:r>
        <w:rPr>
          <w:rFonts w:hint="eastAsia"/>
          <w:b/>
          <w:bCs/>
          <w:spacing w:val="2"/>
          <w:lang w:eastAsia="zh-CN"/>
        </w:rPr>
        <w:t>（五）</w:t>
      </w:r>
      <w:r>
        <w:rPr>
          <w:b/>
          <w:bCs/>
          <w:spacing w:val="2"/>
        </w:rPr>
        <w:t>部分重大事项未经集体决策</w:t>
      </w:r>
    </w:p>
    <w:p>
      <w:pPr>
        <w:ind w:firstLine="648" w:firstLineChars="200"/>
        <w:rPr>
          <w:spacing w:val="2"/>
        </w:rPr>
      </w:pPr>
      <w:r>
        <w:rPr>
          <w:rFonts w:hint="eastAsia"/>
          <w:spacing w:val="2"/>
        </w:rPr>
        <w:t>经审核</w:t>
      </w:r>
      <w:r>
        <w:rPr>
          <w:spacing w:val="2"/>
        </w:rPr>
        <w:t>，区教育体育局</w:t>
      </w:r>
      <w:r>
        <w:rPr>
          <w:rFonts w:hint="eastAsia"/>
          <w:spacing w:val="2"/>
        </w:rPr>
        <w:t>2022年2月支付2021年第四季度民师补贴；2022年5月支付2022年第一季度民师补贴重大事项</w:t>
      </w:r>
      <w:r>
        <w:rPr>
          <w:spacing w:val="2"/>
        </w:rPr>
        <w:t>未经集体决策。</w:t>
      </w:r>
    </w:p>
    <w:p>
      <w:pPr>
        <w:ind w:firstLine="651" w:firstLineChars="200"/>
        <w:rPr>
          <w:b/>
          <w:bCs/>
          <w:spacing w:val="2"/>
        </w:rPr>
      </w:pPr>
      <w:r>
        <w:rPr>
          <w:rFonts w:hint="eastAsia"/>
          <w:b/>
          <w:bCs/>
          <w:spacing w:val="2"/>
          <w:lang w:eastAsia="zh-CN"/>
        </w:rPr>
        <w:t>（六）</w:t>
      </w:r>
      <w:r>
        <w:rPr>
          <w:b/>
          <w:bCs/>
          <w:spacing w:val="2"/>
        </w:rPr>
        <w:t>市内交通费多报销200元</w:t>
      </w:r>
    </w:p>
    <w:p>
      <w:pPr>
        <w:ind w:firstLine="648" w:firstLineChars="200"/>
        <w:rPr>
          <w:spacing w:val="2"/>
        </w:rPr>
      </w:pPr>
      <w:r>
        <w:rPr>
          <w:rFonts w:hint="eastAsia"/>
          <w:spacing w:val="2"/>
        </w:rPr>
        <w:t>经审核</w:t>
      </w:r>
      <w:r>
        <w:rPr>
          <w:spacing w:val="2"/>
        </w:rPr>
        <w:t>，区教育体育局2022年7月</w:t>
      </w:r>
      <w:r>
        <w:rPr>
          <w:rFonts w:hint="eastAsia"/>
          <w:spacing w:val="2"/>
          <w:lang w:eastAsia="zh-CN"/>
        </w:rPr>
        <w:t>为出差人员</w:t>
      </w:r>
      <w:r>
        <w:rPr>
          <w:spacing w:val="2"/>
        </w:rPr>
        <w:t>多报销</w:t>
      </w:r>
      <w:r>
        <w:rPr>
          <w:rFonts w:hint="eastAsia"/>
          <w:spacing w:val="2"/>
          <w:lang w:eastAsia="zh-CN"/>
        </w:rPr>
        <w:t>市内交通费</w:t>
      </w:r>
      <w:r>
        <w:rPr>
          <w:spacing w:val="2"/>
        </w:rPr>
        <w:t>200元。</w:t>
      </w:r>
    </w:p>
    <w:p>
      <w:pPr>
        <w:pStyle w:val="27"/>
        <w:ind w:firstLine="640" w:firstLineChars="200"/>
        <w:outlineLvl w:val="0"/>
        <w:rPr>
          <w:rFonts w:hint="eastAsia" w:ascii="Times New Roman" w:eastAsia="黑体"/>
          <w:kern w:val="2"/>
          <w:szCs w:val="32"/>
          <w:lang w:eastAsia="zh-CN"/>
        </w:rPr>
      </w:pPr>
      <w:r>
        <w:rPr>
          <w:rFonts w:ascii="Times New Roman"/>
          <w:vanish/>
          <w:kern w:val="2"/>
          <w:szCs w:val="32"/>
        </w:rPr>
        <w:cr/>
      </w:r>
      <w:r>
        <w:rPr>
          <w:rFonts w:ascii="Times New Roman"/>
          <w:vanish/>
          <w:kern w:val="2"/>
          <w:szCs w:val="32"/>
        </w:rPr>
        <w:t>查法性盾。评价用语应平实、适度，避免使用感情色彩浓重的用语。】</w:t>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t>.查    回证（详</w:t>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vanish/>
          <w:kern w:val="2"/>
          <w:szCs w:val="32"/>
        </w:rPr>
        <w:pgNum/>
      </w:r>
      <w:r>
        <w:rPr>
          <w:rFonts w:ascii="Times New Roman"/>
          <w:kern w:val="2"/>
          <w:szCs w:val="32"/>
        </w:rPr>
        <w:t>四、审计</w:t>
      </w:r>
      <w:r>
        <w:rPr>
          <w:rFonts w:hint="eastAsia" w:ascii="Times New Roman"/>
          <w:kern w:val="2"/>
          <w:szCs w:val="32"/>
          <w:lang w:eastAsia="zh-CN"/>
        </w:rPr>
        <w:t>处理及整改情况</w:t>
      </w:r>
    </w:p>
    <w:p>
      <w:pPr>
        <w:pStyle w:val="2"/>
        <w:ind w:firstLine="640"/>
        <w:rPr>
          <w:rFonts w:hint="eastAsia" w:eastAsia="仿宋_GB2312"/>
          <w:spacing w:val="2"/>
          <w:lang w:val="en-US" w:eastAsia="zh-CN"/>
        </w:rPr>
      </w:pPr>
      <w:r>
        <w:rPr>
          <w:rFonts w:hint="eastAsia" w:ascii="仿宋" w:hAnsi="仿宋" w:eastAsia="仿宋" w:cs="仿宋"/>
          <w:sz w:val="32"/>
          <w:szCs w:val="32"/>
          <w:lang w:val="en-US" w:eastAsia="zh-CN"/>
        </w:rPr>
        <w:t>对于上述问题，老城区审计局已依法出具审计报告，并提出处理意见和整改建议。对于</w:t>
      </w:r>
      <w:r>
        <w:rPr>
          <w:spacing w:val="2"/>
        </w:rPr>
        <w:t>课后延时服务日常监督管理不到位</w:t>
      </w:r>
      <w:r>
        <w:rPr>
          <w:rFonts w:hint="eastAsia"/>
          <w:spacing w:val="2"/>
          <w:lang w:eastAsia="zh-CN"/>
        </w:rPr>
        <w:t>问题，区教体局出台制度，</w:t>
      </w:r>
      <w:r>
        <w:rPr>
          <w:rFonts w:hint="eastAsia" w:ascii="仿宋_GB2312" w:hAnsi="仿宋_GB2312" w:eastAsia="仿宋_GB2312" w:cs="仿宋_GB2312"/>
          <w:bCs/>
          <w:kern w:val="2"/>
          <w:sz w:val="32"/>
          <w:szCs w:val="32"/>
          <w:lang w:val="en-US" w:eastAsia="zh-CN" w:bidi="ar"/>
        </w:rPr>
        <w:t>按要求建立区教体局课后服务专用账户，各学校设立分账户</w:t>
      </w:r>
      <w:r>
        <w:rPr>
          <w:rFonts w:hint="eastAsia" w:ascii="仿宋_GB2312" w:hAnsi="仿宋_GB2312" w:cs="仿宋_GB2312"/>
          <w:bCs/>
          <w:kern w:val="2"/>
          <w:sz w:val="32"/>
          <w:szCs w:val="32"/>
          <w:lang w:val="en-US" w:eastAsia="zh-CN" w:bidi="ar"/>
        </w:rPr>
        <w:t>；对于专项资金长期闲置问题，区教体局根据</w:t>
      </w:r>
      <w:r>
        <w:rPr>
          <w:rFonts w:hint="eastAsia" w:ascii="仿宋_GB2312" w:hAnsi="Times New Roman" w:eastAsia="仿宋_GB2312" w:cs="Times New Roman"/>
          <w:kern w:val="2"/>
          <w:sz w:val="32"/>
          <w:szCs w:val="32"/>
          <w:lang w:val="en-US" w:eastAsia="zh-CN" w:bidi="ar"/>
        </w:rPr>
        <w:t>年度预算安排和项目实施进度等情况，认真编制分月用款计划，</w:t>
      </w:r>
      <w:r>
        <w:rPr>
          <w:rFonts w:hint="eastAsia" w:ascii="仿宋_GB2312" w:hAnsi="Times New Roman" w:cs="Times New Roman"/>
          <w:kern w:val="2"/>
          <w:sz w:val="32"/>
          <w:szCs w:val="32"/>
          <w:lang w:val="en-US" w:eastAsia="zh-CN" w:bidi="ar"/>
        </w:rPr>
        <w:t>对专项资金及时分配使用；对于</w:t>
      </w:r>
      <w:r>
        <w:rPr>
          <w:spacing w:val="2"/>
        </w:rPr>
        <w:t>教育督导管理平台闲置</w:t>
      </w:r>
      <w:r>
        <w:rPr>
          <w:rFonts w:hint="eastAsia"/>
          <w:spacing w:val="2"/>
        </w:rPr>
        <w:t>浪费</w:t>
      </w:r>
      <w:r>
        <w:rPr>
          <w:rFonts w:hint="eastAsia"/>
          <w:spacing w:val="2"/>
          <w:lang w:eastAsia="zh-CN"/>
        </w:rPr>
        <w:t>问题，区教体局</w:t>
      </w:r>
      <w:r>
        <w:rPr>
          <w:rFonts w:hint="eastAsia" w:ascii="仿宋_GB2312" w:hAnsi="Times New Roman" w:eastAsia="仿宋_GB2312" w:cs="Times New Roman"/>
          <w:kern w:val="2"/>
          <w:sz w:val="32"/>
          <w:szCs w:val="32"/>
          <w:lang w:val="en-US" w:eastAsia="zh-CN" w:bidi="ar"/>
        </w:rPr>
        <w:t>安排专人负责教育督导管理平台，并加大人员培训力度，提高平台使用率</w:t>
      </w:r>
      <w:r>
        <w:rPr>
          <w:rFonts w:hint="eastAsia" w:ascii="仿宋_GB2312" w:hAnsi="Times New Roman" w:cs="Times New Roman"/>
          <w:kern w:val="2"/>
          <w:sz w:val="32"/>
          <w:szCs w:val="32"/>
          <w:lang w:val="en-US" w:eastAsia="zh-CN" w:bidi="ar"/>
        </w:rPr>
        <w:t>；对于</w:t>
      </w:r>
      <w:r>
        <w:rPr>
          <w:spacing w:val="2"/>
        </w:rPr>
        <w:t>固定资产未及时入账</w:t>
      </w:r>
      <w:r>
        <w:rPr>
          <w:rFonts w:hint="eastAsia"/>
          <w:spacing w:val="2"/>
          <w:lang w:eastAsia="zh-CN"/>
        </w:rPr>
        <w:t>问题，区教体局已进行补记；对于</w:t>
      </w:r>
      <w:r>
        <w:rPr>
          <w:spacing w:val="2"/>
        </w:rPr>
        <w:t>部分重大事项未经集体决策</w:t>
      </w:r>
      <w:r>
        <w:rPr>
          <w:rFonts w:hint="eastAsia"/>
          <w:spacing w:val="2"/>
          <w:lang w:eastAsia="zh-CN"/>
        </w:rPr>
        <w:t>问题，区教体局</w:t>
      </w:r>
      <w:r>
        <w:rPr>
          <w:rFonts w:hint="eastAsia" w:ascii="仿宋_GB2312" w:hAnsi="Times New Roman" w:eastAsia="仿宋_GB2312" w:cs="Times New Roman"/>
          <w:kern w:val="2"/>
          <w:sz w:val="32"/>
          <w:szCs w:val="32"/>
          <w:lang w:val="en-US" w:eastAsia="zh-CN" w:bidi="ar"/>
        </w:rPr>
        <w:t>认真学习文件，坚决执行《老城区党政主要负责同志不直接分管五项工作的规定》</w:t>
      </w:r>
      <w:r>
        <w:rPr>
          <w:rFonts w:hint="eastAsia" w:ascii="仿宋_GB2312" w:hAnsi="Times New Roman" w:cs="Times New Roman"/>
          <w:kern w:val="2"/>
          <w:sz w:val="32"/>
          <w:szCs w:val="32"/>
          <w:lang w:val="en-US" w:eastAsia="zh-CN" w:bidi="ar"/>
        </w:rPr>
        <w:t>；对于多报销市内交通费问题，区教体局已</w:t>
      </w:r>
      <w:r>
        <w:rPr>
          <w:rFonts w:hint="eastAsia" w:ascii="仿宋_GB2312" w:hAnsi="Times New Roman" w:eastAsia="仿宋_GB2312" w:cs="Times New Roman"/>
          <w:kern w:val="2"/>
          <w:sz w:val="32"/>
          <w:szCs w:val="32"/>
          <w:lang w:val="en-US" w:eastAsia="zh-CN" w:bidi="ar"/>
        </w:rPr>
        <w:t>将超标准列支资金收回上缴国库</w:t>
      </w:r>
      <w:r>
        <w:rPr>
          <w:rFonts w:hint="eastAsia"/>
          <w:spacing w:val="2"/>
          <w:lang w:eastAsia="zh-CN"/>
        </w:rPr>
        <w:t>。</w:t>
      </w:r>
    </w:p>
    <w:p>
      <w:pPr>
        <w:pStyle w:val="2"/>
        <w:ind w:firstLine="640"/>
        <w:rPr>
          <w:rFonts w:hint="eastAsia"/>
          <w:spacing w:val="2"/>
          <w:lang w:eastAsia="zh-CN"/>
        </w:rPr>
      </w:pPr>
    </w:p>
    <w:p>
      <w:pPr>
        <w:pStyle w:val="2"/>
        <w:ind w:firstLine="640"/>
        <w:rPr>
          <w:rFonts w:hint="eastAsia"/>
          <w:spacing w:val="2"/>
          <w:lang w:eastAsia="zh-CN"/>
        </w:rPr>
      </w:pPr>
    </w:p>
    <w:p>
      <w:pPr>
        <w:pStyle w:val="2"/>
        <w:ind w:firstLine="640"/>
        <w:rPr>
          <w:rFonts w:hint="eastAsia"/>
          <w:spacing w:val="2"/>
          <w:lang w:eastAsia="zh-CN"/>
        </w:rPr>
      </w:pPr>
    </w:p>
    <w:p>
      <w:pPr>
        <w:pStyle w:val="2"/>
        <w:ind w:firstLine="640"/>
        <w:rPr>
          <w:rFonts w:hint="eastAsia"/>
          <w:spacing w:val="2"/>
          <w:lang w:eastAsia="zh-CN"/>
        </w:rPr>
      </w:pPr>
    </w:p>
    <w:p>
      <w:pPr>
        <w:pStyle w:val="25"/>
        <w:spacing w:line="579" w:lineRule="exact"/>
        <w:ind w:firstLine="640"/>
        <w:rPr>
          <w:rFonts w:ascii="Times New Roman" w:hAnsi="Times New Roman"/>
        </w:rPr>
      </w:pPr>
      <w:r>
        <w:rPr>
          <w:rFonts w:ascii="Times New Roman" w:hAnsi="Times New Roman"/>
        </w:rPr>
        <w:t xml:space="preserve">   </w:t>
      </w:r>
      <w:r>
        <w:rPr>
          <w:rFonts w:hint="eastAsia" w:ascii="Times New Roman" w:hAnsi="Times New Roman"/>
        </w:rPr>
        <w:t xml:space="preserve">                             </w:t>
      </w:r>
    </w:p>
    <w:p>
      <w:pPr>
        <w:pStyle w:val="25"/>
        <w:spacing w:line="579" w:lineRule="exact"/>
        <w:ind w:firstLine="640"/>
        <w:rPr>
          <w:rFonts w:ascii="Times New Roman" w:hAnsi="Times New Roman"/>
        </w:rPr>
      </w:pPr>
    </w:p>
    <w:p>
      <w:pPr>
        <w:pStyle w:val="25"/>
        <w:spacing w:line="579" w:lineRule="exact"/>
        <w:ind w:firstLine="640"/>
        <w:rPr>
          <w:rFonts w:ascii="Times New Roman" w:hAnsi="Times New Roman"/>
        </w:rPr>
      </w:pPr>
      <w:r>
        <w:rPr>
          <w:rFonts w:ascii="Times New Roman" w:hAnsi="Times New Roman"/>
        </w:rPr>
        <w:t xml:space="preserve">                               </w:t>
      </w:r>
    </w:p>
    <w:sectPr>
      <w:footerReference r:id="rId3" w:type="default"/>
      <w:pgSz w:w="11906" w:h="16838"/>
      <w:pgMar w:top="2098" w:right="1531" w:bottom="1928" w:left="1531" w:header="851" w:footer="992" w:gutter="0"/>
      <w:pgNumType w:start="1"/>
      <w:cols w:space="720" w:num="1"/>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VrRN0BAAC+AwAADgAAAGRycy9lMm9Eb2MueG1srVPNjtMwEL4j8Q6W&#10;7zTZHlYl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MlZ05YGvj5+7fzj1/nn1/Z&#10;y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yFa0TdAQAAvgMAAA4AAAAAAAAA&#10;AQAgAAAAHgEAAGRycy9lMm9Eb2MueG1sUEsFBgAAAAAGAAYAWQEAAG0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5"/>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51205" cy="314325"/>
              <wp:effectExtent l="0" t="0" r="0" b="0"/>
              <wp:wrapNone/>
              <wp:docPr id="1" name="文本框 8"/>
              <wp:cNvGraphicFramePr/>
              <a:graphic xmlns:a="http://schemas.openxmlformats.org/drawingml/2006/main">
                <a:graphicData uri="http://schemas.microsoft.com/office/word/2010/wordprocessingShape">
                  <wps:wsp>
                    <wps:cNvSpPr txBox="1"/>
                    <wps:spPr>
                      <a:xfrm>
                        <a:off x="0" y="0"/>
                        <a:ext cx="751205" cy="314325"/>
                      </a:xfrm>
                      <a:prstGeom prst="rect">
                        <a:avLst/>
                      </a:prstGeom>
                      <a:noFill/>
                      <a:ln>
                        <a:noFill/>
                      </a:ln>
                    </wps:spPr>
                    <wps:txbx>
                      <w:txbxContent>
                        <w:p>
                          <w:pPr>
                            <w:pStyle w:val="8"/>
                            <w:rPr>
                              <w:rFonts w:hint="eastAsia" w:ascii="仿宋_GB2312" w:hAnsi="仿宋_GB2312" w:cs="仿宋_GB2312"/>
                              <w:sz w:val="28"/>
                              <w:szCs w:val="28"/>
                            </w:rPr>
                          </w:pPr>
                        </w:p>
                      </w:txbxContent>
                    </wps:txbx>
                    <wps:bodyPr vert="horz" wrap="square" lIns="0" tIns="0" rIns="0" bIns="0" anchor="t" anchorCtr="0" upright="0"/>
                  </wps:wsp>
                </a:graphicData>
              </a:graphic>
            </wp:anchor>
          </w:drawing>
        </mc:Choice>
        <mc:Fallback>
          <w:pict>
            <v:shape id="文本框 8" o:spid="_x0000_s1026" o:spt="202" type="#_x0000_t202" style="position:absolute;left:0pt;margin-top:0pt;height:24.75pt;width:59.15pt;mso-position-horizontal:center;mso-position-horizontal-relative:margin;z-index:251659264;mso-width-relative:page;mso-height-relative:page;" filled="f" stroked="f" coordsize="21600,21600" o:gfxdata="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3CFX9UAAAAEAQAADwAAAAAAAAAB&#10;ACAAAAAiAAAAZHJzL2Rvd25yZXYueG1sUEsBAhQAFAAAAAgAh07iQNNYvQfaAQAApAMAAA4AAAAA&#10;AAAAAQAgAAAAJAEAAGRycy9lMm9Eb2MueG1sUEsFBgAAAAAGAAYAWQEAAHAFAAAAAA==&#10;">
              <v:fill on="f" focussize="0,0"/>
              <v:stroke on="f"/>
              <v:imagedata o:title=""/>
              <o:lock v:ext="edit" aspectratio="f"/>
              <v:textbox inset="0mm,0mm,0mm,0mm">
                <w:txbxContent>
                  <w:p>
                    <w:pPr>
                      <w:pStyle w:val="8"/>
                      <w:rPr>
                        <w:rFonts w:hint="eastAsia" w:ascii="仿宋_GB2312" w:hAnsi="仿宋_GB2312" w:cs="仿宋_GB2312"/>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YTNlNWQ1NGVhN2FlZTljOWFkZWE4MjM3YTU2YzcifQ=="/>
    <w:docVar w:name="KSO_WPS_MARK_KEY" w:val="28da2842-739e-4077-9768-cc77a32a64b2"/>
  </w:docVars>
  <w:rsids>
    <w:rsidRoot w:val="43DA7963"/>
    <w:rsid w:val="000105CA"/>
    <w:rsid w:val="00011CF7"/>
    <w:rsid w:val="00011E34"/>
    <w:rsid w:val="00025764"/>
    <w:rsid w:val="000805A5"/>
    <w:rsid w:val="000B7B36"/>
    <w:rsid w:val="000D1DE9"/>
    <w:rsid w:val="000D7B3D"/>
    <w:rsid w:val="000F746E"/>
    <w:rsid w:val="00152DA3"/>
    <w:rsid w:val="00154A34"/>
    <w:rsid w:val="00172A4B"/>
    <w:rsid w:val="001970BD"/>
    <w:rsid w:val="001A5E36"/>
    <w:rsid w:val="00247975"/>
    <w:rsid w:val="002B5697"/>
    <w:rsid w:val="002D413B"/>
    <w:rsid w:val="002F1895"/>
    <w:rsid w:val="002F6B75"/>
    <w:rsid w:val="00317F2A"/>
    <w:rsid w:val="003202BA"/>
    <w:rsid w:val="00321285"/>
    <w:rsid w:val="00332712"/>
    <w:rsid w:val="003562E1"/>
    <w:rsid w:val="003A4B54"/>
    <w:rsid w:val="003B365A"/>
    <w:rsid w:val="003B46A5"/>
    <w:rsid w:val="003E164D"/>
    <w:rsid w:val="003F1DBB"/>
    <w:rsid w:val="003F78E9"/>
    <w:rsid w:val="00425D80"/>
    <w:rsid w:val="00492C65"/>
    <w:rsid w:val="004A7E4B"/>
    <w:rsid w:val="004C2FCD"/>
    <w:rsid w:val="004C53C2"/>
    <w:rsid w:val="004D6742"/>
    <w:rsid w:val="00507CB0"/>
    <w:rsid w:val="00525DE1"/>
    <w:rsid w:val="00542F78"/>
    <w:rsid w:val="00545C20"/>
    <w:rsid w:val="0058501C"/>
    <w:rsid w:val="005A34E0"/>
    <w:rsid w:val="005C0271"/>
    <w:rsid w:val="005F58EC"/>
    <w:rsid w:val="00635403"/>
    <w:rsid w:val="00637DA6"/>
    <w:rsid w:val="00647C2E"/>
    <w:rsid w:val="00655FBC"/>
    <w:rsid w:val="006C6E75"/>
    <w:rsid w:val="006C769D"/>
    <w:rsid w:val="006E341C"/>
    <w:rsid w:val="006E3D95"/>
    <w:rsid w:val="006F0846"/>
    <w:rsid w:val="007223D8"/>
    <w:rsid w:val="0073160B"/>
    <w:rsid w:val="007A5D98"/>
    <w:rsid w:val="007C0D7D"/>
    <w:rsid w:val="007C1D7C"/>
    <w:rsid w:val="007D38CB"/>
    <w:rsid w:val="007D51C3"/>
    <w:rsid w:val="007E7E8B"/>
    <w:rsid w:val="008320DE"/>
    <w:rsid w:val="008401EF"/>
    <w:rsid w:val="008577A3"/>
    <w:rsid w:val="00862039"/>
    <w:rsid w:val="0086755C"/>
    <w:rsid w:val="00875773"/>
    <w:rsid w:val="0088395E"/>
    <w:rsid w:val="00896AEC"/>
    <w:rsid w:val="008B3971"/>
    <w:rsid w:val="008D4FDD"/>
    <w:rsid w:val="008E77DD"/>
    <w:rsid w:val="00984D64"/>
    <w:rsid w:val="009B04DB"/>
    <w:rsid w:val="009E4E9E"/>
    <w:rsid w:val="00A004B9"/>
    <w:rsid w:val="00A15706"/>
    <w:rsid w:val="00A33F93"/>
    <w:rsid w:val="00A344D7"/>
    <w:rsid w:val="00A345E5"/>
    <w:rsid w:val="00A87513"/>
    <w:rsid w:val="00AD3C67"/>
    <w:rsid w:val="00B110A3"/>
    <w:rsid w:val="00B113D1"/>
    <w:rsid w:val="00B21A87"/>
    <w:rsid w:val="00B34D77"/>
    <w:rsid w:val="00B73B5B"/>
    <w:rsid w:val="00B850E8"/>
    <w:rsid w:val="00BA1A55"/>
    <w:rsid w:val="00BE0C8B"/>
    <w:rsid w:val="00C04DF4"/>
    <w:rsid w:val="00C65F9B"/>
    <w:rsid w:val="00C8417F"/>
    <w:rsid w:val="00CA2042"/>
    <w:rsid w:val="00D00725"/>
    <w:rsid w:val="00D420CB"/>
    <w:rsid w:val="00D44950"/>
    <w:rsid w:val="00D75364"/>
    <w:rsid w:val="00D92194"/>
    <w:rsid w:val="00DA7ECD"/>
    <w:rsid w:val="00DC232F"/>
    <w:rsid w:val="00DE7291"/>
    <w:rsid w:val="00DF1860"/>
    <w:rsid w:val="00DF33EC"/>
    <w:rsid w:val="00E36BA2"/>
    <w:rsid w:val="00E5102A"/>
    <w:rsid w:val="00E742F2"/>
    <w:rsid w:val="00EC5DEA"/>
    <w:rsid w:val="00ED0E56"/>
    <w:rsid w:val="00F03A34"/>
    <w:rsid w:val="00F462F9"/>
    <w:rsid w:val="00F5456B"/>
    <w:rsid w:val="00F61867"/>
    <w:rsid w:val="00F73A17"/>
    <w:rsid w:val="00F86C0C"/>
    <w:rsid w:val="00F902F3"/>
    <w:rsid w:val="00F93774"/>
    <w:rsid w:val="00F9394E"/>
    <w:rsid w:val="00FE2ACB"/>
    <w:rsid w:val="00FF2B11"/>
    <w:rsid w:val="01C36142"/>
    <w:rsid w:val="02010E04"/>
    <w:rsid w:val="02850702"/>
    <w:rsid w:val="02A50CDD"/>
    <w:rsid w:val="06130219"/>
    <w:rsid w:val="07067B1A"/>
    <w:rsid w:val="07F13FFA"/>
    <w:rsid w:val="0ACC7AE3"/>
    <w:rsid w:val="0D35786F"/>
    <w:rsid w:val="0D7A19F2"/>
    <w:rsid w:val="0FE06177"/>
    <w:rsid w:val="0FF3BDA6"/>
    <w:rsid w:val="16656FED"/>
    <w:rsid w:val="1D3F5364"/>
    <w:rsid w:val="1DAD4A22"/>
    <w:rsid w:val="1ECFB725"/>
    <w:rsid w:val="1FFBCA0F"/>
    <w:rsid w:val="252D74D5"/>
    <w:rsid w:val="273F22E5"/>
    <w:rsid w:val="27FAF00D"/>
    <w:rsid w:val="2B833315"/>
    <w:rsid w:val="2D706599"/>
    <w:rsid w:val="2EBF354C"/>
    <w:rsid w:val="2F9C106E"/>
    <w:rsid w:val="317E6843"/>
    <w:rsid w:val="3377BA67"/>
    <w:rsid w:val="3436753B"/>
    <w:rsid w:val="364B9C77"/>
    <w:rsid w:val="37BE0C28"/>
    <w:rsid w:val="37ED9018"/>
    <w:rsid w:val="37F07313"/>
    <w:rsid w:val="37FED5CE"/>
    <w:rsid w:val="386DA98A"/>
    <w:rsid w:val="3B093AE3"/>
    <w:rsid w:val="3B5FB5F8"/>
    <w:rsid w:val="3B63124B"/>
    <w:rsid w:val="3CE24FC0"/>
    <w:rsid w:val="3CF3B1AD"/>
    <w:rsid w:val="3D1466E5"/>
    <w:rsid w:val="3D4054F2"/>
    <w:rsid w:val="3EDFDFC6"/>
    <w:rsid w:val="3EFFFD58"/>
    <w:rsid w:val="3F259FD6"/>
    <w:rsid w:val="3F7D59FE"/>
    <w:rsid w:val="3F7E5360"/>
    <w:rsid w:val="3FBFEA39"/>
    <w:rsid w:val="3FE7D307"/>
    <w:rsid w:val="3FF74A7B"/>
    <w:rsid w:val="403930EC"/>
    <w:rsid w:val="40658075"/>
    <w:rsid w:val="42143E19"/>
    <w:rsid w:val="43DA7963"/>
    <w:rsid w:val="45FB0E26"/>
    <w:rsid w:val="475D461C"/>
    <w:rsid w:val="47FB388A"/>
    <w:rsid w:val="487F1B7A"/>
    <w:rsid w:val="49865F45"/>
    <w:rsid w:val="4DCF6190"/>
    <w:rsid w:val="4EDF0B88"/>
    <w:rsid w:val="4F0F42E7"/>
    <w:rsid w:val="4FA6F96A"/>
    <w:rsid w:val="50FA5A99"/>
    <w:rsid w:val="53DD243B"/>
    <w:rsid w:val="54B2748D"/>
    <w:rsid w:val="5813034D"/>
    <w:rsid w:val="5A2D483B"/>
    <w:rsid w:val="5AA37B36"/>
    <w:rsid w:val="5C6FE270"/>
    <w:rsid w:val="5D9EAA26"/>
    <w:rsid w:val="5DA868EC"/>
    <w:rsid w:val="5F8E36CF"/>
    <w:rsid w:val="5FE7C56F"/>
    <w:rsid w:val="636F225A"/>
    <w:rsid w:val="63CF3818"/>
    <w:rsid w:val="66E7E7BC"/>
    <w:rsid w:val="6BA025FE"/>
    <w:rsid w:val="6E29114D"/>
    <w:rsid w:val="6FFB2F7D"/>
    <w:rsid w:val="6FFF18D2"/>
    <w:rsid w:val="6FFF2741"/>
    <w:rsid w:val="6FFFFDEE"/>
    <w:rsid w:val="71F3F1D9"/>
    <w:rsid w:val="727237B6"/>
    <w:rsid w:val="72F320DD"/>
    <w:rsid w:val="74FFB322"/>
    <w:rsid w:val="7566FA9F"/>
    <w:rsid w:val="767F8AE9"/>
    <w:rsid w:val="77DF8EB7"/>
    <w:rsid w:val="77FD02B3"/>
    <w:rsid w:val="77FFCBEE"/>
    <w:rsid w:val="783D93E3"/>
    <w:rsid w:val="7B5C75CF"/>
    <w:rsid w:val="7B9C3C4F"/>
    <w:rsid w:val="7BD38FD5"/>
    <w:rsid w:val="7BEFD882"/>
    <w:rsid w:val="7BF7ECA1"/>
    <w:rsid w:val="7DAA8B97"/>
    <w:rsid w:val="7DEAF663"/>
    <w:rsid w:val="7DFF6ECC"/>
    <w:rsid w:val="7E0845FD"/>
    <w:rsid w:val="7EBA0B6B"/>
    <w:rsid w:val="7EF29F9F"/>
    <w:rsid w:val="7EFBF9EB"/>
    <w:rsid w:val="7F4F5FD7"/>
    <w:rsid w:val="7FAFC492"/>
    <w:rsid w:val="7FB36402"/>
    <w:rsid w:val="7FDF3BC8"/>
    <w:rsid w:val="7FEAB3C2"/>
    <w:rsid w:val="7FF5955E"/>
    <w:rsid w:val="7FFB3EA8"/>
    <w:rsid w:val="9B7D0E4D"/>
    <w:rsid w:val="A2E34C25"/>
    <w:rsid w:val="AFFBC550"/>
    <w:rsid w:val="B00E5EDE"/>
    <w:rsid w:val="B3EFF44C"/>
    <w:rsid w:val="B7FB3DF9"/>
    <w:rsid w:val="BADD8095"/>
    <w:rsid w:val="BBEB25A6"/>
    <w:rsid w:val="BDFEB8E4"/>
    <w:rsid w:val="BEAF120C"/>
    <w:rsid w:val="BFDB9016"/>
    <w:rsid w:val="C3E434DD"/>
    <w:rsid w:val="C6F64DD5"/>
    <w:rsid w:val="C77B7E55"/>
    <w:rsid w:val="C7FD5391"/>
    <w:rsid w:val="DA7D0492"/>
    <w:rsid w:val="DBD67EF9"/>
    <w:rsid w:val="DBFF163C"/>
    <w:rsid w:val="DC67C79B"/>
    <w:rsid w:val="DDFF2CE5"/>
    <w:rsid w:val="DECD0E39"/>
    <w:rsid w:val="DFE7ADFD"/>
    <w:rsid w:val="DFFDEB31"/>
    <w:rsid w:val="E695BA01"/>
    <w:rsid w:val="E6DF6E84"/>
    <w:rsid w:val="E77FB96F"/>
    <w:rsid w:val="E7EBFD28"/>
    <w:rsid w:val="EBFB2DB1"/>
    <w:rsid w:val="EBFECAF5"/>
    <w:rsid w:val="EFB722FC"/>
    <w:rsid w:val="EFEF3DFB"/>
    <w:rsid w:val="EFF7900A"/>
    <w:rsid w:val="EFF91C90"/>
    <w:rsid w:val="F19A98AD"/>
    <w:rsid w:val="F7FAA059"/>
    <w:rsid w:val="FBFEA208"/>
    <w:rsid w:val="FBFEEBA9"/>
    <w:rsid w:val="FBFF4A37"/>
    <w:rsid w:val="FBFF84F6"/>
    <w:rsid w:val="FC6E20E4"/>
    <w:rsid w:val="FCF7CF70"/>
    <w:rsid w:val="FDEB3E7D"/>
    <w:rsid w:val="FDFD3FF2"/>
    <w:rsid w:val="FF7F585A"/>
    <w:rsid w:val="FF9FDDAF"/>
    <w:rsid w:val="FFBBF231"/>
    <w:rsid w:val="FFBE3FDF"/>
    <w:rsid w:val="FFDDE650"/>
    <w:rsid w:val="FFE7EEA9"/>
    <w:rsid w:val="FFEF154D"/>
    <w:rsid w:val="FFFFA29A"/>
    <w:rsid w:val="FFFFEF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paragraph" w:styleId="3">
    <w:name w:val="heading 2"/>
    <w:basedOn w:val="1"/>
    <w:next w:val="1"/>
    <w:qFormat/>
    <w:uiPriority w:val="0"/>
    <w:pPr>
      <w:keepNext/>
      <w:keepLines/>
      <w:suppressAutoHyphens/>
      <w:spacing w:before="260" w:beforeLines="0" w:after="260" w:afterLines="0" w:line="360" w:lineRule="auto"/>
      <w:jc w:val="center"/>
      <w:outlineLvl w:val="1"/>
    </w:pPr>
    <w:rPr>
      <w:rFonts w:ascii="宋体" w:hAnsi="宋体" w:eastAsia="黑体"/>
      <w:spacing w:val="2"/>
      <w:sz w:val="32"/>
      <w:szCs w:val="32"/>
    </w:rPr>
  </w:style>
  <w:style w:type="paragraph" w:styleId="4">
    <w:name w:val="heading 3"/>
    <w:basedOn w:val="1"/>
    <w:next w:val="2"/>
    <w:qFormat/>
    <w:uiPriority w:val="0"/>
    <w:pPr>
      <w:keepNext/>
      <w:keepLines/>
      <w:spacing w:before="240" w:beforeLines="0" w:after="120" w:afterLines="0" w:line="413" w:lineRule="auto"/>
      <w:outlineLvl w:val="2"/>
    </w:pPr>
    <w:rPr>
      <w:rFonts w:ascii="宋体" w:hAnsi="华文仿宋" w:eastAsia="宋体"/>
      <w:b/>
      <w:bCs/>
      <w:kern w:val="2"/>
      <w:sz w:val="24"/>
      <w:szCs w:val="32"/>
      <w:lang w:val="en-US" w:eastAsia="zh-CN" w:bidi="ar-SA"/>
    </w:rPr>
  </w:style>
  <w:style w:type="paragraph" w:styleId="5">
    <w:name w:val="heading 4"/>
    <w:basedOn w:val="1"/>
    <w:next w:val="1"/>
    <w:qFormat/>
    <w:uiPriority w:val="0"/>
    <w:pPr>
      <w:keepNext/>
      <w:keepLines/>
      <w:spacing w:line="360" w:lineRule="auto"/>
      <w:ind w:firstLine="360" w:firstLineChars="150"/>
      <w:outlineLvl w:val="3"/>
    </w:pPr>
    <w:rPr>
      <w:rFonts w:ascii="宋体" w:hAnsi="宋体"/>
      <w:sz w:val="24"/>
    </w:rPr>
  </w:style>
  <w:style w:type="character" w:default="1" w:styleId="16">
    <w:name w:val="Default Paragraph Font"/>
    <w:semiHidden/>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15"/>
      <w:tblCellMar>
        <w:top w:w="0" w:type="dxa"/>
        <w:left w:w="108" w:type="dxa"/>
        <w:bottom w:w="0" w:type="dxa"/>
        <w:right w:w="108" w:type="dxa"/>
      </w:tblCellMar>
    </w:tblPr>
  </w:style>
  <w:style w:type="paragraph" w:styleId="2">
    <w:name w:val="Normal Indent"/>
    <w:basedOn w:val="1"/>
    <w:uiPriority w:val="99"/>
    <w:pPr>
      <w:ind w:firstLine="420" w:firstLineChars="200"/>
    </w:pPr>
  </w:style>
  <w:style w:type="paragraph" w:styleId="6">
    <w:name w:val="Body Text"/>
    <w:basedOn w:val="1"/>
    <w:next w:val="1"/>
    <w:uiPriority w:val="0"/>
    <w:pPr>
      <w:snapToGrid w:val="0"/>
      <w:spacing w:line="579" w:lineRule="exact"/>
    </w:pPr>
    <w:rPr>
      <w:rFonts w:eastAsia="仿宋_GB2312"/>
      <w:sz w:val="32"/>
    </w:rPr>
  </w:style>
  <w:style w:type="paragraph" w:styleId="7">
    <w:name w:val="Body Text Indent"/>
    <w:basedOn w:val="1"/>
    <w:link w:val="18"/>
    <w:uiPriority w:val="0"/>
    <w:pPr>
      <w:spacing w:after="120"/>
      <w:ind w:left="420" w:leftChars="200"/>
    </w:p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iPriority w:val="0"/>
    <w:rPr>
      <w:b/>
      <w:bCs/>
      <w:sz w:val="24"/>
    </w:rPr>
  </w:style>
  <w:style w:type="paragraph" w:styleId="11">
    <w:name w:val="footnote text"/>
    <w:basedOn w:val="1"/>
    <w:next w:val="6"/>
    <w:link w:val="19"/>
    <w:uiPriority w:val="99"/>
    <w:pPr>
      <w:snapToGrid w:val="0"/>
      <w:jc w:val="left"/>
    </w:pPr>
    <w:rPr>
      <w:sz w:val="18"/>
      <w:szCs w:val="18"/>
    </w:rPr>
  </w:style>
  <w:style w:type="paragraph" w:styleId="12">
    <w:name w:val="Body Text Indent 3"/>
    <w:basedOn w:val="1"/>
    <w:uiPriority w:val="0"/>
    <w:pPr>
      <w:ind w:firstLine="645"/>
    </w:pPr>
    <w:rPr>
      <w:rFonts w:ascii="黑体" w:eastAsia="黑体"/>
      <w:kern w:val="2"/>
      <w:sz w:val="21"/>
    </w:rPr>
  </w:style>
  <w:style w:type="paragraph" w:styleId="13">
    <w:name w:val="Normal (Web)"/>
    <w:basedOn w:val="1"/>
    <w:uiPriority w:val="99"/>
    <w:pPr>
      <w:spacing w:before="100" w:beforeLines="0" w:beforeAutospacing="1" w:after="100" w:afterLines="0" w:afterAutospacing="1"/>
      <w:ind w:left="0" w:right="0"/>
      <w:jc w:val="left"/>
    </w:pPr>
    <w:rPr>
      <w:kern w:val="0"/>
      <w:sz w:val="24"/>
      <w:lang w:val="en-US" w:eastAsia="zh-CN" w:bidi="ar"/>
    </w:rPr>
  </w:style>
  <w:style w:type="paragraph" w:styleId="14">
    <w:name w:val="Body Text First Indent 2"/>
    <w:basedOn w:val="7"/>
    <w:link w:val="20"/>
    <w:uiPriority w:val="0"/>
    <w:pPr>
      <w:ind w:firstLine="420" w:firstLineChars="200"/>
    </w:pPr>
  </w:style>
  <w:style w:type="character" w:styleId="17">
    <w:name w:val="page number"/>
    <w:basedOn w:val="16"/>
    <w:uiPriority w:val="0"/>
  </w:style>
  <w:style w:type="character" w:customStyle="1" w:styleId="18">
    <w:name w:val="正文文本缩进 Char"/>
    <w:basedOn w:val="16"/>
    <w:link w:val="7"/>
    <w:uiPriority w:val="0"/>
    <w:rPr>
      <w:rFonts w:eastAsia="仿宋_GB2312"/>
      <w:kern w:val="2"/>
      <w:sz w:val="32"/>
      <w:szCs w:val="24"/>
    </w:rPr>
  </w:style>
  <w:style w:type="character" w:customStyle="1" w:styleId="19">
    <w:name w:val="脚注文本 Char"/>
    <w:basedOn w:val="16"/>
    <w:link w:val="11"/>
    <w:uiPriority w:val="99"/>
    <w:rPr>
      <w:rFonts w:eastAsia="仿宋_GB2312"/>
      <w:kern w:val="2"/>
      <w:sz w:val="18"/>
      <w:szCs w:val="18"/>
    </w:rPr>
  </w:style>
  <w:style w:type="character" w:customStyle="1" w:styleId="20">
    <w:name w:val="正文首行缩进 2 Char"/>
    <w:basedOn w:val="18"/>
    <w:link w:val="14"/>
    <w:uiPriority w:val="0"/>
  </w:style>
  <w:style w:type="paragraph" w:customStyle="1" w:styleId="21">
    <w:name w:val="样式1"/>
    <w:basedOn w:val="1"/>
    <w:qFormat/>
    <w:uiPriority w:val="0"/>
    <w:rPr>
      <w:b/>
      <w:color w:val="538135"/>
      <w:sz w:val="28"/>
    </w:rPr>
  </w:style>
  <w:style w:type="paragraph" w:customStyle="1" w:styleId="22">
    <w:name w:val="Char"/>
    <w:basedOn w:val="1"/>
    <w:uiPriority w:val="0"/>
    <w:pPr>
      <w:snapToGrid w:val="0"/>
      <w:spacing w:line="360" w:lineRule="auto"/>
      <w:ind w:left="0" w:firstLine="200" w:firstLineChars="200"/>
      <w:textAlignment w:val="auto"/>
    </w:pPr>
  </w:style>
  <w:style w:type="character" w:customStyle="1" w:styleId="23">
    <w:name w:val="Body Text Indent 3 Char"/>
    <w:link w:val="24"/>
    <w:uiPriority w:val="0"/>
    <w:rPr>
      <w:rFonts w:eastAsia="仿宋_GB2312"/>
      <w:sz w:val="16"/>
      <w:szCs w:val="16"/>
    </w:rPr>
  </w:style>
  <w:style w:type="paragraph" w:customStyle="1" w:styleId="24">
    <w:name w:val="Body Text Indent 3"/>
    <w:basedOn w:val="1"/>
    <w:link w:val="23"/>
    <w:qFormat/>
    <w:uiPriority w:val="0"/>
    <w:pPr>
      <w:ind w:left="420" w:leftChars="200"/>
    </w:pPr>
    <w:rPr>
      <w:kern w:val="0"/>
      <w:sz w:val="16"/>
      <w:szCs w:val="16"/>
    </w:rPr>
  </w:style>
  <w:style w:type="paragraph" w:customStyle="1" w:styleId="25">
    <w:name w:val="正文缩进1"/>
    <w:basedOn w:val="1"/>
    <w:qFormat/>
    <w:uiPriority w:val="0"/>
    <w:pPr>
      <w:ind w:firstLine="420" w:firstLineChars="200"/>
    </w:pPr>
    <w:rPr>
      <w:rFonts w:ascii="Calibri" w:hAnsi="Calibri" w:cs="Times New Roman"/>
      <w:szCs w:val="24"/>
    </w:rPr>
  </w:style>
  <w:style w:type="paragraph" w:customStyle="1" w:styleId="26">
    <w:name w:val="Plain Text"/>
    <w:basedOn w:val="1"/>
    <w:uiPriority w:val="0"/>
    <w:rPr>
      <w:rFonts w:ascii="宋体" w:hAnsi="Courier New"/>
    </w:rPr>
  </w:style>
  <w:style w:type="paragraph" w:customStyle="1" w:styleId="27">
    <w:name w:val="一、正文一级小标题"/>
    <w:basedOn w:val="1"/>
    <w:next w:val="1"/>
    <w:qFormat/>
    <w:uiPriority w:val="0"/>
    <w:pPr>
      <w:adjustRightInd w:val="0"/>
      <w:snapToGrid w:val="0"/>
      <w:spacing w:line="579" w:lineRule="exact"/>
      <w:textAlignment w:val="baseline"/>
      <w:outlineLvl w:val="1"/>
    </w:pPr>
    <w:rPr>
      <w:rFonts w:ascii="黑体" w:eastAsia="黑体"/>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818</Words>
  <Characters>4665</Characters>
  <Lines>38</Lines>
  <Paragraphs>10</Paragraphs>
  <TotalTime>4</TotalTime>
  <ScaleCrop>false</ScaleCrop>
  <LinksUpToDate>false</LinksUpToDate>
  <CharactersWithSpaces>5473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2022-03-30T08:33:00Z</dcterms:created>
  <dc:creator>王成</dc:creator>
  <cp:lastModifiedBy>Administrator</cp:lastModifiedBy>
  <cp:lastPrinted>2023-06-19T03:27:00Z</cp:lastPrinted>
  <dcterms:modified xsi:type="dcterms:W3CDTF">2023-12-27T08:34:15Z</dcterms:modified>
  <dc:title>河南省审计厅</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590B42F08504497D965B984E93C059B3</vt:lpwstr>
  </property>
</Properties>
</file>