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C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0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洛阳市老城区202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年国民经济和社会发展统计公报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①</w:t>
      </w:r>
      <w:bookmarkStart w:id="3" w:name="_GoBack"/>
      <w:bookmarkEnd w:id="3"/>
    </w:p>
    <w:p w14:paraId="01A32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700" w:lineRule="exact"/>
        <w:ind w:left="0" w:leftChars="0" w:firstLine="0" w:firstLineChars="0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老城区统计局</w:t>
      </w:r>
    </w:p>
    <w:p w14:paraId="27394CC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 年，全区上下坚持以习近平新时代中国特色社会主义思想为指导，深入贯彻党的二十大精神，全面落实党中央、国务院决策部署和省委、省政府工作要求，完整准确全面贯彻新发展理念，坚持稳中求进工作总基调，以推动高质量发展为主题，统筹推进存量政策持续显效与增量政策精准发力，全区经济呈现 “稳中有进、进中提质”的良好态势。</w:t>
      </w:r>
    </w:p>
    <w:p w14:paraId="4E1E408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一、综合</w:t>
      </w:r>
    </w:p>
    <w:p w14:paraId="32A6BAF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初步核算，全年全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生产总值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superscript"/>
        </w:rPr>
        <w:t>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194.5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亿元，按可比价计算，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同比增长5.8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%。其中，第一产业增加值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9987万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%；第二产业增加值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55.6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%；第三产业增加值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137.9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%。三次产业结构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superscript"/>
        </w:rPr>
        <w:t>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为0.51:28.6:70.89。</w:t>
      </w:r>
    </w:p>
    <w:p w14:paraId="787668C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215890" cy="2817495"/>
            <wp:effectExtent l="4445" t="4445" r="6985" b="1270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311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年末常住人口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26.08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万人，其中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城镇常住人口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25.32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人，常住人口城镇化率为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97.1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%，比上年末提高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出生人口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0.16万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人，出生率为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‰；死亡人口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0.15万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人，死亡率为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5.66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‰；自然增长率为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0.38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‰。</w:t>
      </w:r>
    </w:p>
    <w:p w14:paraId="70BA02F9">
      <w:pPr>
        <w:pStyle w:val="2"/>
        <w:rPr>
          <w:rFonts w:ascii="宋体" w:hAnsi="宋体" w:eastAsia="宋体" w:cs="宋体"/>
          <w:sz w:val="24"/>
          <w:szCs w:val="24"/>
        </w:rPr>
      </w:pPr>
    </w:p>
    <w:p w14:paraId="3427DE5A">
      <w:pPr>
        <w:pStyle w:val="3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kern w:val="0"/>
          <w:sz w:val="24"/>
          <w:szCs w:val="24"/>
          <w:lang w:val="en-US" w:eastAsia="zh-CN" w:bidi="ar-SA"/>
        </w:rPr>
        <w:t>表1：2024年年末常住人口数及构成</w:t>
      </w:r>
    </w:p>
    <w:p w14:paraId="66E59FB3">
      <w:pPr>
        <w:rPr>
          <w:rFonts w:hint="default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646"/>
        <w:gridCol w:w="2646"/>
      </w:tblGrid>
      <w:tr w14:paraId="42E9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6292B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指标</w:t>
            </w:r>
          </w:p>
        </w:tc>
        <w:tc>
          <w:tcPr>
            <w:tcW w:w="2646" w:type="dxa"/>
            <w:vAlign w:val="center"/>
          </w:tcPr>
          <w:p w14:paraId="3F73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年末数（万人）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5C8F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比重（%）</w:t>
            </w:r>
          </w:p>
        </w:tc>
      </w:tr>
      <w:tr w14:paraId="5CC6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3AC7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常住人口</w:t>
            </w:r>
          </w:p>
        </w:tc>
        <w:tc>
          <w:tcPr>
            <w:tcW w:w="2646" w:type="dxa"/>
            <w:vAlign w:val="center"/>
          </w:tcPr>
          <w:p w14:paraId="21B2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26.08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7435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</w:tr>
      <w:tr w14:paraId="0D24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7A3A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#城镇</w:t>
            </w:r>
          </w:p>
        </w:tc>
        <w:tc>
          <w:tcPr>
            <w:tcW w:w="2646" w:type="dxa"/>
            <w:vAlign w:val="center"/>
          </w:tcPr>
          <w:p w14:paraId="2833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25.32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0F1D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97.1</w:t>
            </w:r>
          </w:p>
        </w:tc>
      </w:tr>
      <w:tr w14:paraId="7301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12BC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乡村</w:t>
            </w:r>
          </w:p>
        </w:tc>
        <w:tc>
          <w:tcPr>
            <w:tcW w:w="2646" w:type="dxa"/>
            <w:vAlign w:val="center"/>
          </w:tcPr>
          <w:p w14:paraId="7CFA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0.76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2C2E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2.9</w:t>
            </w:r>
          </w:p>
        </w:tc>
      </w:tr>
      <w:tr w14:paraId="61CA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4CF8F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#男性</w:t>
            </w:r>
          </w:p>
        </w:tc>
        <w:tc>
          <w:tcPr>
            <w:tcW w:w="2646" w:type="dxa"/>
            <w:vAlign w:val="center"/>
          </w:tcPr>
          <w:p w14:paraId="5D07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13.02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6AD0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49.92</w:t>
            </w:r>
          </w:p>
        </w:tc>
      </w:tr>
      <w:tr w14:paraId="440F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5790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女性</w:t>
            </w:r>
          </w:p>
        </w:tc>
        <w:tc>
          <w:tcPr>
            <w:tcW w:w="2646" w:type="dxa"/>
            <w:vAlign w:val="center"/>
          </w:tcPr>
          <w:p w14:paraId="360D3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13.06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680D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50.08</w:t>
            </w:r>
          </w:p>
        </w:tc>
      </w:tr>
      <w:tr w14:paraId="5881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7CE9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#0-15岁</w:t>
            </w:r>
          </w:p>
        </w:tc>
        <w:tc>
          <w:tcPr>
            <w:tcW w:w="2646" w:type="dxa"/>
            <w:vAlign w:val="center"/>
          </w:tcPr>
          <w:p w14:paraId="7E30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4.76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2CDD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18.25</w:t>
            </w:r>
          </w:p>
        </w:tc>
      </w:tr>
      <w:tr w14:paraId="5F4F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4DFA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16-59岁</w:t>
            </w:r>
          </w:p>
        </w:tc>
        <w:tc>
          <w:tcPr>
            <w:tcW w:w="2646" w:type="dxa"/>
            <w:vAlign w:val="center"/>
          </w:tcPr>
          <w:p w14:paraId="07D1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15.79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09CEF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60.55</w:t>
            </w:r>
          </w:p>
        </w:tc>
      </w:tr>
      <w:tr w14:paraId="1CFE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1DE3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60岁及以上</w:t>
            </w:r>
          </w:p>
        </w:tc>
        <w:tc>
          <w:tcPr>
            <w:tcW w:w="2646" w:type="dxa"/>
            <w:vAlign w:val="center"/>
          </w:tcPr>
          <w:p w14:paraId="3D1A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5.53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7967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21.2</w:t>
            </w:r>
          </w:p>
        </w:tc>
      </w:tr>
      <w:tr w14:paraId="7BE7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477" w:type="dxa"/>
            <w:tcBorders>
              <w:left w:val="nil"/>
            </w:tcBorders>
            <w:vAlign w:val="center"/>
          </w:tcPr>
          <w:p w14:paraId="163A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其中：65岁及以上</w:t>
            </w:r>
          </w:p>
        </w:tc>
        <w:tc>
          <w:tcPr>
            <w:tcW w:w="2646" w:type="dxa"/>
            <w:vAlign w:val="center"/>
          </w:tcPr>
          <w:p w14:paraId="0978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3.86</w:t>
            </w:r>
          </w:p>
        </w:tc>
        <w:tc>
          <w:tcPr>
            <w:tcW w:w="2646" w:type="dxa"/>
            <w:tcBorders>
              <w:right w:val="nil"/>
            </w:tcBorders>
            <w:vAlign w:val="center"/>
          </w:tcPr>
          <w:p w14:paraId="21B1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14.8</w:t>
            </w:r>
          </w:p>
        </w:tc>
      </w:tr>
    </w:tbl>
    <w:p w14:paraId="56312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全年城镇新增就业人员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5037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人，失业人员实现再就业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人,就业困难人员实现就业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1A8498E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二、农业</w:t>
      </w:r>
    </w:p>
    <w:p w14:paraId="1C5B0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年，全区农林牧渔总产值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1.6亿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</w:t>
      </w:r>
    </w:p>
    <w:p w14:paraId="03133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粮食种植面积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9300.8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亩。其中，小麦种植面积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3109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亩，玉米种植面积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4014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亩。全年油料种植面积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431.8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亩，蔬菜种植面积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1920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亩。</w:t>
      </w:r>
    </w:p>
    <w:p w14:paraId="2B0CD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全年粮食产量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3211.9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同比增长2.5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%。其中，夏粮产量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995.6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同比增长6.9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%；秋粮产量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1852.1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同比下降1.02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%；小麦产量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995.6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同比增长6.9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%；玉米产量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1493.1042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同比增长2.2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%。油料产量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44.4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同比增长1.28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%；蔬菜产量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4242.5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同比增长0.78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%；食用菌产量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21.8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同比无变化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；水果产量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482.6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同比增长1.7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FF8AE72">
      <w:pPr>
        <w:pStyle w:val="2"/>
        <w:ind w:firstLine="2650" w:firstLineChars="11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p w14:paraId="7507AF28">
      <w:pPr>
        <w:pStyle w:val="2"/>
        <w:ind w:firstLine="2650" w:firstLineChars="11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表2：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年主要农产品产量</w:t>
      </w:r>
    </w:p>
    <w:p w14:paraId="7FFC87A0">
      <w:pPr>
        <w:pStyle w:val="3"/>
        <w:rPr>
          <w:rFonts w:hint="eastAsia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526"/>
        <w:gridCol w:w="1838"/>
      </w:tblGrid>
      <w:tr w14:paraId="28B8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tblHeader/>
          <w:jc w:val="center"/>
        </w:trPr>
        <w:tc>
          <w:tcPr>
            <w:tcW w:w="2272" w:type="dxa"/>
            <w:tcBorders>
              <w:left w:val="nil"/>
            </w:tcBorders>
            <w:vAlign w:val="center"/>
          </w:tcPr>
          <w:p w14:paraId="0950BB0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 w14:paraId="1A3C500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838" w:type="dxa"/>
            <w:tcBorders>
              <w:right w:val="nil"/>
            </w:tcBorders>
            <w:vAlign w:val="center"/>
          </w:tcPr>
          <w:p w14:paraId="1CA85E4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产量</w:t>
            </w:r>
          </w:p>
        </w:tc>
      </w:tr>
      <w:tr w14:paraId="3D30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tblHeader/>
          <w:jc w:val="center"/>
        </w:trPr>
        <w:tc>
          <w:tcPr>
            <w:tcW w:w="2272" w:type="dxa"/>
            <w:tcBorders>
              <w:left w:val="nil"/>
            </w:tcBorders>
            <w:shd w:val="clear" w:color="auto" w:fill="auto"/>
            <w:vAlign w:val="center"/>
          </w:tcPr>
          <w:p w14:paraId="1F0C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粮食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 w14:paraId="0C25AAC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1838" w:type="dxa"/>
            <w:tcBorders>
              <w:right w:val="nil"/>
            </w:tcBorders>
            <w:vAlign w:val="center"/>
          </w:tcPr>
          <w:p w14:paraId="1F9BFDD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3211.9</w:t>
            </w:r>
          </w:p>
        </w:tc>
      </w:tr>
      <w:tr w14:paraId="16E9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tblHeader/>
          <w:jc w:val="center"/>
        </w:trPr>
        <w:tc>
          <w:tcPr>
            <w:tcW w:w="2272" w:type="dxa"/>
            <w:tcBorders>
              <w:left w:val="nil"/>
            </w:tcBorders>
            <w:shd w:val="clear" w:color="auto" w:fill="auto"/>
            <w:vAlign w:val="center"/>
          </w:tcPr>
          <w:p w14:paraId="4EEC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#夏粮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 w14:paraId="2CCB6D7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1838" w:type="dxa"/>
            <w:tcBorders>
              <w:right w:val="nil"/>
            </w:tcBorders>
            <w:vAlign w:val="center"/>
          </w:tcPr>
          <w:p w14:paraId="1B66E6A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995.6</w:t>
            </w:r>
          </w:p>
        </w:tc>
      </w:tr>
      <w:tr w14:paraId="386E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tblHeader/>
          <w:jc w:val="center"/>
        </w:trPr>
        <w:tc>
          <w:tcPr>
            <w:tcW w:w="2272" w:type="dxa"/>
            <w:tcBorders>
              <w:left w:val="nil"/>
            </w:tcBorders>
            <w:shd w:val="clear" w:color="auto" w:fill="auto"/>
            <w:vAlign w:val="center"/>
          </w:tcPr>
          <w:p w14:paraId="679A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#秋粮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 w14:paraId="65B7125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1838" w:type="dxa"/>
            <w:tcBorders>
              <w:right w:val="nil"/>
            </w:tcBorders>
            <w:vAlign w:val="center"/>
          </w:tcPr>
          <w:p w14:paraId="16068F8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1852.1</w:t>
            </w:r>
          </w:p>
        </w:tc>
      </w:tr>
      <w:tr w14:paraId="4D87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2272" w:type="dxa"/>
            <w:tcBorders>
              <w:left w:val="nil"/>
            </w:tcBorders>
            <w:shd w:val="clear" w:color="auto" w:fill="auto"/>
            <w:vAlign w:val="center"/>
          </w:tcPr>
          <w:p w14:paraId="29D78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 w14:paraId="76DEAFD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1838" w:type="dxa"/>
            <w:tcBorders>
              <w:right w:val="nil"/>
            </w:tcBorders>
            <w:vAlign w:val="center"/>
          </w:tcPr>
          <w:p w14:paraId="52B5321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4242.5</w:t>
            </w:r>
          </w:p>
        </w:tc>
      </w:tr>
    </w:tbl>
    <w:p w14:paraId="6732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全年猪牛羊肉产量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.5吨，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同比增长61.2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%；年末生猪存栏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比上年增加110头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；生猪出栏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比上年增加35头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。年末牛存栏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比上年增加5头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；牛出栏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较上年增加1头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。年末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1260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头，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比上年增加982头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出栏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853只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比上年增加376只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。年末家禽存栏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只，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较上年减少305只。</w:t>
      </w:r>
    </w:p>
    <w:p w14:paraId="52A6496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5C4DE83">
      <w:pPr>
        <w:pStyle w:val="2"/>
        <w:ind w:firstLine="2650" w:firstLineChars="11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年主要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畜牧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产品产量</w:t>
      </w:r>
    </w:p>
    <w:p w14:paraId="3DD4D92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6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478"/>
        <w:gridCol w:w="2176"/>
      </w:tblGrid>
      <w:tr w14:paraId="3421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3D06F5D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产品及畜禽名称</w:t>
            </w:r>
          </w:p>
        </w:tc>
        <w:tc>
          <w:tcPr>
            <w:tcW w:w="1478" w:type="dxa"/>
            <w:vAlign w:val="center"/>
          </w:tcPr>
          <w:p w14:paraId="0505427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321C270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2024年产量</w:t>
            </w:r>
          </w:p>
        </w:tc>
      </w:tr>
      <w:tr w14:paraId="007E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14A2421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猪牛羊肉产量</w:t>
            </w:r>
          </w:p>
        </w:tc>
        <w:tc>
          <w:tcPr>
            <w:tcW w:w="1478" w:type="dxa"/>
            <w:vAlign w:val="center"/>
          </w:tcPr>
          <w:p w14:paraId="3B92FBA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吨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60B81A2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27.5</w:t>
            </w:r>
          </w:p>
        </w:tc>
      </w:tr>
      <w:tr w14:paraId="5D24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2B555DE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生猪存栏</w:t>
            </w:r>
          </w:p>
        </w:tc>
        <w:tc>
          <w:tcPr>
            <w:tcW w:w="1478" w:type="dxa"/>
            <w:vAlign w:val="center"/>
          </w:tcPr>
          <w:p w14:paraId="411EE90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头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4F8B616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245</w:t>
            </w:r>
          </w:p>
        </w:tc>
      </w:tr>
      <w:tr w14:paraId="1534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3962EC2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生猪出栏</w:t>
            </w:r>
          </w:p>
        </w:tc>
        <w:tc>
          <w:tcPr>
            <w:tcW w:w="1478" w:type="dxa"/>
            <w:vAlign w:val="center"/>
          </w:tcPr>
          <w:p w14:paraId="66F16C8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头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4FD3B7C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165</w:t>
            </w:r>
          </w:p>
        </w:tc>
      </w:tr>
      <w:tr w14:paraId="4D80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5CA7060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牛存栏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0CC728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头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26D4134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</w:tr>
      <w:tr w14:paraId="4172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55F17BD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牛出栏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B735AC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头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761063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 w14:paraId="7A99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275F3D4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羊存栏</w:t>
            </w:r>
          </w:p>
        </w:tc>
        <w:tc>
          <w:tcPr>
            <w:tcW w:w="1478" w:type="dxa"/>
            <w:vAlign w:val="center"/>
          </w:tcPr>
          <w:p w14:paraId="1AD12C3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只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16B84F1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1260</w:t>
            </w:r>
          </w:p>
        </w:tc>
      </w:tr>
      <w:tr w14:paraId="74AC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5DB0D2A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羊出栏</w:t>
            </w:r>
          </w:p>
        </w:tc>
        <w:tc>
          <w:tcPr>
            <w:tcW w:w="1478" w:type="dxa"/>
            <w:vAlign w:val="center"/>
          </w:tcPr>
          <w:p w14:paraId="10FDFD0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只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77F9FBB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853</w:t>
            </w:r>
          </w:p>
        </w:tc>
      </w:tr>
      <w:tr w14:paraId="0DA9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124" w:type="dxa"/>
            <w:tcBorders>
              <w:left w:val="nil"/>
            </w:tcBorders>
            <w:vAlign w:val="center"/>
          </w:tcPr>
          <w:p w14:paraId="72C39AE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家禽存栏</w:t>
            </w:r>
          </w:p>
        </w:tc>
        <w:tc>
          <w:tcPr>
            <w:tcW w:w="1478" w:type="dxa"/>
            <w:vAlign w:val="center"/>
          </w:tcPr>
          <w:p w14:paraId="1A77B02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只</w:t>
            </w:r>
          </w:p>
        </w:tc>
        <w:tc>
          <w:tcPr>
            <w:tcW w:w="2176" w:type="dxa"/>
            <w:tcBorders>
              <w:right w:val="nil"/>
            </w:tcBorders>
            <w:vAlign w:val="center"/>
          </w:tcPr>
          <w:p w14:paraId="31C856D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5000</w:t>
            </w:r>
          </w:p>
        </w:tc>
      </w:tr>
    </w:tbl>
    <w:p w14:paraId="6056E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2024年农用化肥施用量（折纯）606.26吨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农用塑料膜使用量8吨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农用柴油使用量37.1吨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09F944D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三、工业和建筑业</w:t>
      </w:r>
    </w:p>
    <w:p w14:paraId="08E3F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工业生产稳步增长。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年，全区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工业增加值同比增长7.8%，其中：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规模以上工业增加值同比增长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%，高于全市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个百分点。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年，全区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规模以上工业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13个大类行业中有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个生产实现增长，增长面为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个行业实现两位数增长。</w:t>
      </w:r>
    </w:p>
    <w:p w14:paraId="66BCC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年，全区共有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以上工业企业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家，全年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以上工业企业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实现营业收入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亿元，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减少5.8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实现利润总额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4697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万元，同比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减少22.2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</w:t>
      </w:r>
    </w:p>
    <w:p w14:paraId="3A6B4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全年全区建筑业增加值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41.4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同比增长9.6%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区内资质建筑业企业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家，比上年增加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家；完成建筑业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100.6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2733CF4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四、服务业</w:t>
      </w:r>
    </w:p>
    <w:p w14:paraId="10887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批发和零售业增加值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26.4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%；交通运输、仓储和邮政业增加值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16.3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%；住宿和餐饮业增加值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%；金融业增加值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%；房地产业增加值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18.4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亿元，同比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下降0.9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%；信息传输、软件和信息技术服务业增加值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%。规模以上服务业企业营业收入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50D82A1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五、固定资产投资</w:t>
      </w:r>
    </w:p>
    <w:p w14:paraId="7110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固定资产投资（不含农户，下同）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同比增长8.4%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。分产业看，第二产业投资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同比增长32.2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%，第三产业投资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%。分领域看，民间投资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同比增长70.5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%，基础设施投资下降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%，工业投资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同比增长32.2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2199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全年房地产开发投资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20.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同比增长18.3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%，其中住宅投资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16.4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同比增长12.8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%。商品房销售面积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18.4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万平方米，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21.3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%；商品房销售额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29.2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05EDBDC8">
      <w:pPr>
        <w:pStyle w:val="2"/>
        <w:ind w:left="1440" w:hanging="1446" w:hangingChars="600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房地产开发和销售主要指标及增速</w:t>
      </w:r>
    </w:p>
    <w:p w14:paraId="065D82B3">
      <w:pPr>
        <w:pStyle w:val="2"/>
        <w:rPr>
          <w:rFonts w:ascii="宋体" w:hAnsi="宋体" w:eastAsia="宋体" w:cs="宋体"/>
          <w:sz w:val="24"/>
          <w:szCs w:val="24"/>
          <w:vertAlign w:val="baseline"/>
        </w:rPr>
      </w:pPr>
    </w:p>
    <w:tbl>
      <w:tblPr>
        <w:tblStyle w:val="8"/>
        <w:tblW w:w="859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0"/>
      </w:tblGrid>
      <w:tr w14:paraId="45C091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20DD884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6C83A10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5C07672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总量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365C77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比上年增长%</w:t>
            </w:r>
          </w:p>
        </w:tc>
      </w:tr>
      <w:tr w14:paraId="0E2D0F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3454F45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房地产开发投资额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498CCC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亿元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453C63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20.8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7D8C2FF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18.3</w:t>
            </w:r>
          </w:p>
        </w:tc>
      </w:tr>
      <w:tr w14:paraId="59F93E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57BA97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其中：住宅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59E3CF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亿元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4A4B01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16.4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20CAA2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12.8</w:t>
            </w:r>
          </w:p>
        </w:tc>
      </w:tr>
      <w:tr w14:paraId="0F6322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48F1F0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房屋施工面积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2377AE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3BADCAC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335.6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089DBF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-25.4</w:t>
            </w:r>
          </w:p>
        </w:tc>
      </w:tr>
      <w:tr w14:paraId="33B3B3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324148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其中：本年新开工面积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14BC3F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34385E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13736C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-85.7</w:t>
            </w:r>
          </w:p>
        </w:tc>
      </w:tr>
      <w:tr w14:paraId="47217B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0C451E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商品房销售面积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7B53B7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6F2520A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18.5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16AC008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-21.3</w:t>
            </w:r>
          </w:p>
        </w:tc>
      </w:tr>
      <w:tr w14:paraId="122485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7F7881D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其中：住宅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5411BC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万平方米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381453F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18.2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47C15E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-20.7</w:t>
            </w:r>
          </w:p>
        </w:tc>
      </w:tr>
      <w:tr w14:paraId="47DE7F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279BDC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商品房销售额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F7E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亿元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3C15A69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341A6A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-29.2</w:t>
            </w:r>
          </w:p>
        </w:tc>
      </w:tr>
      <w:tr w14:paraId="4637CA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 w14:paraId="2C73A1B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其中：住宅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0EFF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亿元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3F9F25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11.8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14:paraId="76A616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-29.5</w:t>
            </w:r>
          </w:p>
        </w:tc>
      </w:tr>
    </w:tbl>
    <w:p w14:paraId="5968D5FD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5E3D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全年固定资产投资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新开工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项目（不含房地产开发）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个，其中亿元以上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新开工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个。</w:t>
      </w:r>
    </w:p>
    <w:p w14:paraId="6EFE6B5C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六、国内贸易</w:t>
      </w:r>
    </w:p>
    <w:p w14:paraId="4416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社会消费品零售总额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83.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同比增长6.9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%。按行业分，批发和零售业零售额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73.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同比增长6.46%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；住宿和餐饮业零售额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同比增长10.7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7F7D17AA">
      <w:pPr>
        <w:pStyle w:val="2"/>
        <w:jc w:val="center"/>
      </w:pPr>
      <w:r>
        <w:drawing>
          <wp:inline distT="0" distB="0" distL="114300" distR="114300">
            <wp:extent cx="4826000" cy="2743200"/>
            <wp:effectExtent l="4445" t="4445" r="15875" b="1079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44C774A">
      <w:pPr>
        <w:pStyle w:val="3"/>
        <w:rPr>
          <w:rFonts w:hint="eastAsia"/>
        </w:rPr>
      </w:pPr>
    </w:p>
    <w:p w14:paraId="46458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限额以上批发零售业企业商品零售额中，吃穿用类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12.6%、粮油、食品类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22.5%、日用品类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70.6%、家用电器和音响器材类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33.8%、汽车类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8.8%。</w:t>
      </w:r>
    </w:p>
    <w:p w14:paraId="171193D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七、对外经济</w:t>
      </w:r>
    </w:p>
    <w:p w14:paraId="432F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外贸进出口额2.1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同比增长8.76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6D2EBD7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八、财政</w:t>
      </w:r>
    </w:p>
    <w:p w14:paraId="619A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一般公共预算收入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同比减少14.9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%，其中税收收入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%，税收占一般公共预算收入比重为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72.4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%。一般公共预算支出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同比增长9.1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%，其中民生支出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8.77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亿元，占一般公共预算支出的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65.35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5ABE81F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九、居民收入消费和社会保障</w:t>
      </w:r>
    </w:p>
    <w:p w14:paraId="37C3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居民人均可支配收入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47467.5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增长6.6%；居民人均消费支出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32692.4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同比增长10.9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%。按常住地分，城镇居民人均可支配收入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48944.8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%；城镇居民人均消费支出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33643.8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同比增长10.8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%。农村居民人均可支配收入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22920.9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%；农村居民人均消费支出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16882.7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同比增长6.7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</w:t>
      </w:r>
    </w:p>
    <w:p w14:paraId="6A721740">
      <w:pPr>
        <w:pStyle w:val="2"/>
        <w:rPr>
          <w:rFonts w:hint="default"/>
        </w:rPr>
      </w:pPr>
    </w:p>
    <w:p w14:paraId="63F13997">
      <w:pPr>
        <w:pStyle w:val="2"/>
      </w:pPr>
      <w:r>
        <w:drawing>
          <wp:inline distT="0" distB="0" distL="114300" distR="114300">
            <wp:extent cx="5046345" cy="2667000"/>
            <wp:effectExtent l="4445" t="4445" r="8890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55DCF51">
      <w:pPr>
        <w:pStyle w:val="3"/>
        <w:rPr>
          <w:rFonts w:hint="default"/>
        </w:rPr>
      </w:pPr>
    </w:p>
    <w:p w14:paraId="1A2FF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年末参加城镇职工基本养老保险人数（含离退休人员）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40607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人，参加城乡居民基本养老保险人数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34014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人。参加基本医疗保险人数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122115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人，其中参加城镇职工基本医疗保险人数（含离退休人员）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27223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参加失业保险人数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16304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人，年末领取失业保险金人数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人。参加工伤保险人数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18244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人。</w:t>
      </w:r>
    </w:p>
    <w:p w14:paraId="3B850B7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十、教育</w:t>
      </w:r>
    </w:p>
    <w:p w14:paraId="6678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末全区共有小学18所，2个教学点，300个班，中学2所，85个班，九年一贯制学校2所。特殊教育学校1所，9个班，其中：2024年新增民办小学0所，0个班。小学在校学生达14414人，中学在校学生3854人，共有小学教职工708人，中学教职工342人。特殊教育在校生51人，特殊教育工作者13人。教师素质与教学质量不断提高，本科学历及以上专任教师数969人，其中研究生94人。教学环境和设施不断改善，年末学校，校舍建筑面积达20.54万平方米，各类学校拥有固定资产1.82亿元。</w:t>
      </w:r>
    </w:p>
    <w:p w14:paraId="3154374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文化旅游和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</w:t>
      </w:r>
    </w:p>
    <w:p w14:paraId="034F1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推进城市书房市场化转型，文峰塔、九龙鼎、柳林街、应天门城市书房引入第三方运营机制试点，成功打造全市首座24小时城市书房，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全年打造</w:t>
      </w:r>
      <w:bookmarkStart w:id="0" w:name="OLE_LINK2"/>
      <w:bookmarkStart w:id="1" w:name="OLE_LINK1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状元红办事处邙山片区邻里中心、邙山办事处苏滹沱社区、西关办事处玄武门社区社区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邻里中心精品书屋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</w:t>
      </w:r>
      <w:bookmarkEnd w:id="0"/>
      <w:bookmarkEnd w:id="1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图书馆及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座城市书房共接待读者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36.75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万人次，图书借阅量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18.56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万余册，办理读者证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456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张，开展各类阅读推广活动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余场，开展流动服务下基层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老城区图书馆探索创新发展新型公共文化空间，将城市书房转型作为公共文化服务创新的重要抓手，持续提升城市书房服务效能。2024年11月，九龙鼎城市书房成功上榜河南省新型公共文化空间典型案例。2025年3月，老城区隐居大唐民宿新型文化空间获</w:t>
      </w:r>
      <w:bookmarkStart w:id="2" w:name="OLE_LINK18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2024年度全国“</w:t>
      </w:r>
      <w:bookmarkEnd w:id="2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优秀公共文化空间案例奖”。</w:t>
      </w:r>
    </w:p>
    <w:p w14:paraId="58D3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2024年共开展各类文化惠民演出活动27场，举办“诗韵新年 心向未来”诗歌朗诵音乐会、“穿越盛唐洛阳年”2024年老城区沉浸式民俗表演、“人民文旅唱起来”——“洛邑有戏”戏曲名家展演。持续开展“豫出彩 一起来”文化惠民系列活动，包括牡丹文化节“河洛欢歌·广场文化月”活动、“中原舞蹁跹”广场舞大赛老城区选拔赛、“唱响新时代”群众合唱大赛老城区选拔赛、“我的乡村文化合作社”才艺大赛、“咱村有戏”戏曲好声音选拔等活动。同时开展“文化老城”艺术学堂公益培训课程，共开展书法、舞蹈、古筝、古琴等课程181节；在北大街社区、公园巷等社区开展舞蹈、书法等文化进社区培训64节，全年培训群众5000余人次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汉服妆造培训3次，培训人数150人。指导汉服研究院发布《汉服术语》《汉服设计通则》，打造“华夏秀”本土汉服品牌，举办“华夏秀”新品发布会，200余款新品闪亮登场。2024年全年共接待国内外游客约4000万人次，同比增长30.1%。旅游总收入约300亿元，同比增长33.22%。 洛邑古城被河南省文化和旅游厅确定为国家4A级旅游景区，被省发改委、农业农村厅、商务厅、文化和旅游厅、市场监管局联合认定为“河南省十佳消费新场景”，荣获“文化传承价值案例”，入选中国旅游协会第五届“中国服务”·旅游产品创意案例八大案例之一。</w:t>
      </w:r>
    </w:p>
    <w:p w14:paraId="4518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2024年末我区共有社区卫生服务中心8家，社区卫生服务站28家，卫生院1家，标准化卫生室23个，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家基层医疗卫生单位，依托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大平台系统，围绕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大类基本公共卫生服务项目，积极为辖区居民提供优质服务，拓宽服务内涵，提高服务质量，提升居民健康素质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6AEEF20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截至202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年末，全区纳入计划生育信息管理总人口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万人、已婚育龄妇女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万人、全区总出生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人。城乡计划生育家庭奖励扶助政策落实率达到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%，202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年审核“农村部分计划生育家庭奖励扶助”对象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人；计划生育特别扶助对象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人；落实城镇计划生育家庭独生子女父母退休后奖励政策，审核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18015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人；落实市区计生各项奖励政策，审核市奖扶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人、市特困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人、独生子女费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4422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人、落实计划生育特殊家庭住院护理补贴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</w:t>
      </w:r>
    </w:p>
    <w:p w14:paraId="5EA27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劳动就业、社会保障和人民生活</w:t>
      </w:r>
    </w:p>
    <w:p w14:paraId="756CE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2024年，完成各类职业技能培训9696人次，新增技能人才5824人，新增高技能人才2694人；农村劳动力技能培训801人。</w:t>
      </w:r>
    </w:p>
    <w:p w14:paraId="4ECBD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年，共处理“110联动平台”转办欠薪线索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2855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件，国家欠薪平台交办案件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件，办结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1016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件，结案率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%；省欠薪平台投诉案件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件，办结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件，结案率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%。各类信访案件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1248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件，办结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1248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件，结案率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区劳动监察投诉案件受理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件，办结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件，结案率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95.03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%。劳动保障监察举报投诉案件结案率达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%，拖欠农民工工资举报投诉案件结案率达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</w:t>
      </w:r>
    </w:p>
    <w:p w14:paraId="1DC6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年，全区综合养老服务中心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处，社区养老服务中心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处。区级特困供养中心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建成20个老年助餐设施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老城区养老服务平台入网任务人数达到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万人。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年共为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名困难残疾人发放生活补贴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64.665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1873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名重度残疾人发放护理补贴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166.02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万元。</w:t>
      </w:r>
    </w:p>
    <w:p w14:paraId="33CD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年共发放城乡低保金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728.17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万元，发放特困供养金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158.97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年临时救助困难群众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人，发放临时救助金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10.34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万元。</w:t>
      </w:r>
    </w:p>
    <w:p w14:paraId="1C5FA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名孤儿发放生活保障金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4.41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万元，孤儿生活费配套资金和工作经费列入财政预算，为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名孤儿发放助学金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万元。现有事实无人抚养儿童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人，按照最新标准核减低保、残疾人两项补贴进行发放，共发放基本生活保障补贴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21.6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万元，做到“应保尽保”。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年共办理收养手续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例，合格率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%。已建成的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个儿童之家能够积极组织儿童开展绘画比赛、手工活动等，为儿童提供了活动的场所和用品，为儿童健康成长提供了保障。全区共有困境儿童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人，为辖区符合低保条件的所有困境儿童办理低保或特困，低保或特困享受率达到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%。</w:t>
      </w:r>
    </w:p>
    <w:p w14:paraId="26A4895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环境保护</w:t>
      </w:r>
    </w:p>
    <w:p w14:paraId="2CCA7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全年全区规模以上工业综合能源消费量增速-3.4%，万元工业增加值能耗降低率-16.26%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 w14:paraId="276E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空气质量优良天数220天；可吸入颗粒物（PM10）年均浓度83微克/立方米，细颗粒物（PM2.5）年均浓度47微克/立方米。洛河白马寺断面水质达标率为100%，潞泽会馆断面水质达标率为83.3%。全区建设用地安全利用率均保持100%。</w:t>
      </w:r>
    </w:p>
    <w:p w14:paraId="26DB39F8">
      <w:pPr>
        <w:pStyle w:val="3"/>
        <w:rPr>
          <w:rFonts w:hint="eastAsia"/>
          <w:lang w:val="en-US" w:eastAsia="zh-CN"/>
        </w:rPr>
      </w:pPr>
    </w:p>
    <w:p w14:paraId="30D556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textAlignment w:val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  <w:shd w:val="clear" w:fill="FFFFFF"/>
        </w:rPr>
        <w:t>注释：</w:t>
      </w:r>
    </w:p>
    <w:p w14:paraId="13A72B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386"/>
        <w:jc w:val="both"/>
        <w:textAlignment w:val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  <w:shd w:val="clear" w:fill="FFFFFF"/>
        </w:rPr>
        <w:t>① 本公报</w:t>
      </w:r>
      <w:r>
        <w:rPr>
          <w:rFonts w:hint="eastAsia"/>
          <w:color w:val="333333"/>
          <w:sz w:val="18"/>
          <w:szCs w:val="18"/>
          <w:shd w:val="clear" w:fill="FFFFFF"/>
          <w:lang w:eastAsia="zh-CN"/>
        </w:rPr>
        <w:t>2024</w:t>
      </w:r>
      <w:r>
        <w:rPr>
          <w:color w:val="333333"/>
          <w:sz w:val="18"/>
          <w:szCs w:val="18"/>
          <w:shd w:val="clear" w:fill="FFFFFF"/>
        </w:rPr>
        <w:t>年数据为初步统计结果。部分数据因四舍五入的原因，存在总计与分项合计不等的情况。</w:t>
      </w:r>
    </w:p>
    <w:p w14:paraId="3AF5F7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386"/>
        <w:jc w:val="both"/>
        <w:textAlignment w:val="auto"/>
        <w:rPr>
          <w:color w:val="333333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② 按照我国地区生产总值统一核算和数据发布制度规定，年度地区生产总值核算包括初步核算和最终核实两个步骤。初步核算主要采用相关指标增速进行推算；最终核实主要根据统计年报、财政决算和有关部门年度财务资料等进行核算，是对初步核算数据的修订。本公报中，生产总值、各产业增加值绝对数按现价计算，增长速度按不变价格计算。</w:t>
      </w:r>
    </w:p>
    <w:p w14:paraId="0FDA1F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386"/>
        <w:jc w:val="both"/>
        <w:textAlignment w:val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  <w:shd w:val="clear" w:fill="FFFFFF"/>
        </w:rPr>
        <w:t>③ 三次产业分类依据国家统计局2018年修订的《三次产业划分规定》，第一产业是指农、林、牧、渔业（不含农、林、牧、渔专业及辅助性活动）；第二产业是指采矿业（不含开采专业及辅助性活动），制造业（不含金属制品、机械和设备修理业），电力、热力、燃气及水生产和供应业，建筑业；第三产业即服务业，是指除第一产业、第二产业以外的其他行业（剔除国际组织）。</w:t>
      </w:r>
    </w:p>
    <w:p w14:paraId="026A11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336"/>
        <w:textAlignment w:val="auto"/>
        <w:rPr>
          <w:color w:val="333333"/>
          <w:sz w:val="18"/>
          <w:szCs w:val="18"/>
          <w:shd w:val="clear" w:fill="FFFFFF"/>
        </w:rPr>
      </w:pPr>
      <w:r>
        <w:rPr>
          <w:color w:val="333333"/>
          <w:sz w:val="18"/>
          <w:szCs w:val="18"/>
          <w:shd w:val="clear" w:fill="FFFFFF"/>
        </w:rPr>
        <w:t> </w:t>
      </w:r>
    </w:p>
    <w:p w14:paraId="0917C89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334"/>
        <w:textAlignment w:val="auto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</w:pPr>
      <w:r>
        <w:rPr>
          <w:color w:val="333333"/>
          <w:sz w:val="18"/>
          <w:szCs w:val="18"/>
          <w:shd w:val="clear" w:fill="FFFFFF"/>
        </w:rPr>
        <w:t>资料来源：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本公报中</w:t>
      </w:r>
      <w:r>
        <w:rPr>
          <w:rFonts w:hint="eastAsia" w:ascii="宋体" w:hAnsi="宋体" w:cs="宋体"/>
          <w:color w:val="333333"/>
          <w:sz w:val="18"/>
          <w:szCs w:val="18"/>
          <w:shd w:val="clear" w:fill="FFFFFF"/>
          <w:lang w:val="en-US" w:eastAsia="zh-CN"/>
        </w:rPr>
        <w:t>常住人口数据来自老城公安分局；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对外经济数据来自区商务局；财政数据来自区财政局；</w:t>
      </w:r>
      <w:r>
        <w:rPr>
          <w:rFonts w:hint="eastAsia" w:ascii="宋体" w:hAnsi="宋体" w:cs="宋体"/>
          <w:color w:val="333333"/>
          <w:sz w:val="18"/>
          <w:szCs w:val="18"/>
          <w:shd w:val="clear" w:fill="FFFFFF"/>
          <w:lang w:val="en-US" w:eastAsia="zh-CN"/>
        </w:rPr>
        <w:t>劳动就业和社会保障数据来自区人社局、区医疗保障局、区信访局</w:t>
      </w:r>
      <w:r>
        <w:rPr>
          <w:rFonts w:hint="eastAsia" w:ascii="宋体" w:hAnsi="宋体" w:cs="宋体"/>
          <w:color w:val="333333"/>
          <w:sz w:val="18"/>
          <w:szCs w:val="1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区</w:t>
      </w:r>
      <w:r>
        <w:rPr>
          <w:rFonts w:hint="eastAsia" w:ascii="宋体" w:hAnsi="宋体" w:cs="宋体"/>
          <w:color w:val="333333"/>
          <w:sz w:val="18"/>
          <w:szCs w:val="18"/>
          <w:shd w:val="clear" w:fill="FFFFFF"/>
          <w:lang w:val="en-US" w:eastAsia="zh-CN"/>
        </w:rPr>
        <w:t>民政局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；教育数据来自区教体局；</w:t>
      </w:r>
      <w:r>
        <w:rPr>
          <w:rFonts w:hint="eastAsia" w:ascii="宋体" w:hAnsi="宋体" w:cs="宋体"/>
          <w:color w:val="333333"/>
          <w:sz w:val="18"/>
          <w:szCs w:val="18"/>
          <w:shd w:val="clear" w:fill="FFFFFF"/>
          <w:lang w:val="en-US" w:eastAsia="zh-CN"/>
        </w:rPr>
        <w:t>文化旅游数据来自区文化和旅游局；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卫生数据来自区卫生健康委员会；环保数据来自区环保分局，其他数据均来自区统计局。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233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AB6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AB6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548F"/>
    <w:rsid w:val="004B2B21"/>
    <w:rsid w:val="00545781"/>
    <w:rsid w:val="018F2EE2"/>
    <w:rsid w:val="01C506B1"/>
    <w:rsid w:val="01EB7C77"/>
    <w:rsid w:val="01FE5971"/>
    <w:rsid w:val="07B6022A"/>
    <w:rsid w:val="08057A5A"/>
    <w:rsid w:val="081B727D"/>
    <w:rsid w:val="087B37D1"/>
    <w:rsid w:val="098B3F8E"/>
    <w:rsid w:val="0A03446D"/>
    <w:rsid w:val="0A27015B"/>
    <w:rsid w:val="0A431E9D"/>
    <w:rsid w:val="0B6E268F"/>
    <w:rsid w:val="0B93304B"/>
    <w:rsid w:val="0C39309A"/>
    <w:rsid w:val="0CEC7CDC"/>
    <w:rsid w:val="0ED85EC8"/>
    <w:rsid w:val="0F4810A5"/>
    <w:rsid w:val="101F3682"/>
    <w:rsid w:val="10970AE1"/>
    <w:rsid w:val="11851C0B"/>
    <w:rsid w:val="11DD23BF"/>
    <w:rsid w:val="12483364"/>
    <w:rsid w:val="125A7AA6"/>
    <w:rsid w:val="125E66E4"/>
    <w:rsid w:val="138B3688"/>
    <w:rsid w:val="13DB5B40"/>
    <w:rsid w:val="13F754E8"/>
    <w:rsid w:val="145A2727"/>
    <w:rsid w:val="163A1216"/>
    <w:rsid w:val="16870F53"/>
    <w:rsid w:val="171E40CD"/>
    <w:rsid w:val="17501734"/>
    <w:rsid w:val="17A50911"/>
    <w:rsid w:val="17AA5BEB"/>
    <w:rsid w:val="17E8062F"/>
    <w:rsid w:val="184C5231"/>
    <w:rsid w:val="19BF7044"/>
    <w:rsid w:val="1A0F5CBD"/>
    <w:rsid w:val="1A3441CE"/>
    <w:rsid w:val="1AD339E7"/>
    <w:rsid w:val="1CCB0FA4"/>
    <w:rsid w:val="1CEB0079"/>
    <w:rsid w:val="1D107795"/>
    <w:rsid w:val="1D774AFE"/>
    <w:rsid w:val="1E05210A"/>
    <w:rsid w:val="1EB64889"/>
    <w:rsid w:val="20A0611A"/>
    <w:rsid w:val="20AD5292"/>
    <w:rsid w:val="215108D1"/>
    <w:rsid w:val="21A60F63"/>
    <w:rsid w:val="226316D6"/>
    <w:rsid w:val="22E65A67"/>
    <w:rsid w:val="237219B7"/>
    <w:rsid w:val="23871813"/>
    <w:rsid w:val="23B343B6"/>
    <w:rsid w:val="25E713A8"/>
    <w:rsid w:val="261C1529"/>
    <w:rsid w:val="263024A1"/>
    <w:rsid w:val="26935CFD"/>
    <w:rsid w:val="27BD3A55"/>
    <w:rsid w:val="27C2106B"/>
    <w:rsid w:val="27F966F1"/>
    <w:rsid w:val="299C31FE"/>
    <w:rsid w:val="2A8A5879"/>
    <w:rsid w:val="2A954815"/>
    <w:rsid w:val="2B885A21"/>
    <w:rsid w:val="2C8E6BD9"/>
    <w:rsid w:val="2D616C12"/>
    <w:rsid w:val="2E3A195C"/>
    <w:rsid w:val="2E4513B8"/>
    <w:rsid w:val="2EAC4558"/>
    <w:rsid w:val="2F795FAF"/>
    <w:rsid w:val="2FC764BC"/>
    <w:rsid w:val="30FA3624"/>
    <w:rsid w:val="344C0748"/>
    <w:rsid w:val="34F539CA"/>
    <w:rsid w:val="35C3492C"/>
    <w:rsid w:val="37B94697"/>
    <w:rsid w:val="398A308E"/>
    <w:rsid w:val="3A677922"/>
    <w:rsid w:val="3BA32955"/>
    <w:rsid w:val="3BC106C7"/>
    <w:rsid w:val="3DE93581"/>
    <w:rsid w:val="3EE81050"/>
    <w:rsid w:val="42DF6A48"/>
    <w:rsid w:val="43E75C8A"/>
    <w:rsid w:val="44A21BB1"/>
    <w:rsid w:val="454D4212"/>
    <w:rsid w:val="45B46040"/>
    <w:rsid w:val="46A07133"/>
    <w:rsid w:val="473A4B87"/>
    <w:rsid w:val="47CA56A6"/>
    <w:rsid w:val="47F10C73"/>
    <w:rsid w:val="485E2293"/>
    <w:rsid w:val="48890044"/>
    <w:rsid w:val="48BD61CD"/>
    <w:rsid w:val="49377904"/>
    <w:rsid w:val="49787384"/>
    <w:rsid w:val="4B074135"/>
    <w:rsid w:val="4B9316E4"/>
    <w:rsid w:val="4D496381"/>
    <w:rsid w:val="4DF47921"/>
    <w:rsid w:val="4F954AAC"/>
    <w:rsid w:val="527A2B36"/>
    <w:rsid w:val="52E33B73"/>
    <w:rsid w:val="53834B26"/>
    <w:rsid w:val="53AF5A7A"/>
    <w:rsid w:val="5482443D"/>
    <w:rsid w:val="55C27CE8"/>
    <w:rsid w:val="55D27163"/>
    <w:rsid w:val="563A433F"/>
    <w:rsid w:val="57EC7697"/>
    <w:rsid w:val="583B084D"/>
    <w:rsid w:val="587F3E89"/>
    <w:rsid w:val="592E0EF6"/>
    <w:rsid w:val="5947124D"/>
    <w:rsid w:val="5A67192E"/>
    <w:rsid w:val="5A762703"/>
    <w:rsid w:val="5AB741B0"/>
    <w:rsid w:val="5BCF1086"/>
    <w:rsid w:val="5C0D40EB"/>
    <w:rsid w:val="5DED2A1D"/>
    <w:rsid w:val="5E1D5979"/>
    <w:rsid w:val="5EAC3328"/>
    <w:rsid w:val="5F043BE6"/>
    <w:rsid w:val="5F993E84"/>
    <w:rsid w:val="629C53D0"/>
    <w:rsid w:val="634C3904"/>
    <w:rsid w:val="639D5F0D"/>
    <w:rsid w:val="641E2BAA"/>
    <w:rsid w:val="64772EF2"/>
    <w:rsid w:val="667967BE"/>
    <w:rsid w:val="67137F80"/>
    <w:rsid w:val="67E61C31"/>
    <w:rsid w:val="681D4B11"/>
    <w:rsid w:val="68DB72BC"/>
    <w:rsid w:val="690D16FE"/>
    <w:rsid w:val="6A2B6021"/>
    <w:rsid w:val="6AB3519D"/>
    <w:rsid w:val="6AB9362D"/>
    <w:rsid w:val="6B3929BF"/>
    <w:rsid w:val="6B6712DB"/>
    <w:rsid w:val="6CAD5685"/>
    <w:rsid w:val="6CB34003"/>
    <w:rsid w:val="6D597DE1"/>
    <w:rsid w:val="6D8D2B4F"/>
    <w:rsid w:val="6DDB7D5E"/>
    <w:rsid w:val="6DEB1ED2"/>
    <w:rsid w:val="6E00303C"/>
    <w:rsid w:val="6F6C6B08"/>
    <w:rsid w:val="6FD66A2F"/>
    <w:rsid w:val="71217069"/>
    <w:rsid w:val="71333A0D"/>
    <w:rsid w:val="715579C6"/>
    <w:rsid w:val="71E44313"/>
    <w:rsid w:val="71F62B06"/>
    <w:rsid w:val="723A2D05"/>
    <w:rsid w:val="738B5D82"/>
    <w:rsid w:val="73F2195D"/>
    <w:rsid w:val="74111813"/>
    <w:rsid w:val="74115779"/>
    <w:rsid w:val="74FD3EA7"/>
    <w:rsid w:val="759A1B92"/>
    <w:rsid w:val="7606097C"/>
    <w:rsid w:val="766D19AF"/>
    <w:rsid w:val="77252E33"/>
    <w:rsid w:val="77862C94"/>
    <w:rsid w:val="77E02CA2"/>
    <w:rsid w:val="78A634B1"/>
    <w:rsid w:val="78C83EC4"/>
    <w:rsid w:val="78F85C68"/>
    <w:rsid w:val="79C93F42"/>
    <w:rsid w:val="7AAA4D40"/>
    <w:rsid w:val="7BCE2CB0"/>
    <w:rsid w:val="7C1D70E6"/>
    <w:rsid w:val="7D683293"/>
    <w:rsid w:val="7DD10836"/>
    <w:rsid w:val="7E53749D"/>
    <w:rsid w:val="7F250FC4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idowControl w:val="0"/>
      <w:suppressAutoHyphens/>
      <w:bidi w:val="0"/>
      <w:ind w:firstLine="641"/>
      <w:jc w:val="both"/>
    </w:pPr>
    <w:rPr>
      <w:rFonts w:ascii="Cambria" w:hAnsi="Cambria" w:eastAsia="宋体" w:cs="Times New Roman"/>
      <w:i/>
      <w:iCs/>
      <w:color w:val="4F81BD"/>
      <w:spacing w:val="15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2024&#24180;&#20844;&#25253;\&#20844;&#25253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0844;&#25253;&#3492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&#20844;&#25253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/>
              <a:t>图1</a:t>
            </a:r>
            <a:r>
              <a:rPr lang="en-US" altLang="zh-CN" sz="1080"/>
              <a:t>  </a:t>
            </a:r>
            <a:r>
              <a:rPr sz="1080"/>
              <a:t>2020-2024年老城区三次产业结构比</a:t>
            </a:r>
            <a:endParaRPr sz="108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[公报表.xlsx]Sheet4!$L$14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[公报表.xlsx]Sheet4!$M$13:$Q$13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[公报表.xlsx]Sheet4!$M$14:$Q$14</c:f>
              <c:numCache>
                <c:formatCode>0.00_ </c:formatCode>
                <c:ptCount val="5"/>
                <c:pt idx="0">
                  <c:v>0.7</c:v>
                </c:pt>
                <c:pt idx="1">
                  <c:v>0.760798090021851</c:v>
                </c:pt>
                <c:pt idx="2">
                  <c:v>0.703189780740593</c:v>
                </c:pt>
                <c:pt idx="3">
                  <c:v>0.69949120861772</c:v>
                </c:pt>
                <c:pt idx="4">
                  <c:v>0.513358550555164</c:v>
                </c:pt>
              </c:numCache>
            </c:numRef>
          </c:val>
        </c:ser>
        <c:ser>
          <c:idx val="1"/>
          <c:order val="1"/>
          <c:tx>
            <c:strRef>
              <c:f>[公报表.xlsx]Sheet4!$L$15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[公报表.xlsx]Sheet4!$M$13:$Q$13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[公报表.xlsx]Sheet4!$M$15:$Q$15</c:f>
              <c:numCache>
                <c:formatCode>0.00_ </c:formatCode>
                <c:ptCount val="5"/>
                <c:pt idx="0">
                  <c:v>62.4</c:v>
                </c:pt>
                <c:pt idx="1">
                  <c:v>59.52595259102</c:v>
                </c:pt>
                <c:pt idx="2">
                  <c:v>60.36</c:v>
                </c:pt>
                <c:pt idx="3">
                  <c:v>51.9753361545619</c:v>
                </c:pt>
                <c:pt idx="4">
                  <c:v>28.6000458940821</c:v>
                </c:pt>
              </c:numCache>
            </c:numRef>
          </c:val>
        </c:ser>
        <c:ser>
          <c:idx val="2"/>
          <c:order val="2"/>
          <c:tx>
            <c:strRef>
              <c:f>[公报表.xlsx]Sheet4!$L$16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[公报表.xlsx]Sheet4!$M$13:$Q$13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[公报表.xlsx]Sheet4!$M$16:$Q$16</c:f>
              <c:numCache>
                <c:formatCode>0.00_ </c:formatCode>
                <c:ptCount val="5"/>
                <c:pt idx="0">
                  <c:v>36.9</c:v>
                </c:pt>
                <c:pt idx="1">
                  <c:v>39.7132493189581</c:v>
                </c:pt>
                <c:pt idx="2">
                  <c:v>38.9427835421554</c:v>
                </c:pt>
                <c:pt idx="3">
                  <c:v>47.32</c:v>
                </c:pt>
                <c:pt idx="4">
                  <c:v>70.8865955553628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273583275"/>
        <c:axId val="590220117"/>
      </c:barChart>
      <c:catAx>
        <c:axId val="2735832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0220117"/>
        <c:crosses val="autoZero"/>
        <c:auto val="1"/>
        <c:lblAlgn val="ctr"/>
        <c:lblOffset val="100"/>
        <c:noMultiLvlLbl val="0"/>
      </c:catAx>
      <c:valAx>
        <c:axId val="59022011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5832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5a38e93-cffb-4dba-94f7-91bd2b70bd0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图</a:t>
            </a:r>
            <a:r>
              <a:rPr lang="en-US" altLang="zh-CN" sz="1200"/>
              <a:t>2  2021-2024</a:t>
            </a:r>
            <a:r>
              <a:rPr altLang="en-US" sz="1200"/>
              <a:t>年老城区</a:t>
            </a:r>
            <a:r>
              <a:rPr sz="1200"/>
              <a:t>社会消费品零售总额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[公报表.xlsx]Sheet3!$A$21</c:f>
              <c:strCache>
                <c:ptCount val="1"/>
                <c:pt idx="0">
                  <c:v>社会消费品零售总额（亿元）</c:v>
                </c:pt>
              </c:strCache>
            </c:strRef>
          </c:tx>
          <c:spPr>
            <a:solidFill>
              <a:schemeClr val="accent1"/>
            </a:solidFill>
            <a:ln w="12700" cmpd="sng">
              <a:noFill/>
              <a:prstDash val="solid"/>
            </a:ln>
            <a:effectLst/>
            <a:sp3d contourW="12700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[公报表.xlsx]Sheet3!$B$20:$E$20</c:f>
              <c:strCache>
                <c:ptCount val="4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  <c:pt idx="3">
                  <c:v>2024年</c:v>
                </c:pt>
              </c:strCache>
            </c:strRef>
          </c:cat>
          <c:val>
            <c:numRef>
              <c:f>[公报表.xlsx]Sheet3!$B$21:$E$21</c:f>
              <c:numCache>
                <c:formatCode>General</c:formatCode>
                <c:ptCount val="4"/>
                <c:pt idx="0">
                  <c:v>71.2</c:v>
                </c:pt>
                <c:pt idx="1">
                  <c:v>72.2</c:v>
                </c:pt>
                <c:pt idx="2">
                  <c:v>78</c:v>
                </c:pt>
                <c:pt idx="3">
                  <c:v>83.4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533207072"/>
        <c:axId val="578623296"/>
      </c:barChart>
      <c:catAx>
        <c:axId val="533207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8623296"/>
        <c:crosses val="autoZero"/>
        <c:auto val="1"/>
        <c:lblAlgn val="ctr"/>
        <c:lblOffset val="100"/>
        <c:noMultiLvlLbl val="0"/>
      </c:catAx>
      <c:valAx>
        <c:axId val="57862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320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2a497c0-617b-4b12-b214-26b3d8e4f0bc}"/>
      </c:ext>
    </c:extLst>
  </c:chart>
  <c:spPr>
    <a:solidFill>
      <a:schemeClr val="bg1"/>
    </a:solidFill>
    <a:ln w="9525" cap="flat" cmpd="sng" algn="ctr">
      <a:solidFill>
        <a:schemeClr val="accent1">
          <a:lumMod val="40000"/>
          <a:lumOff val="60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图</a:t>
            </a:r>
            <a:r>
              <a:rPr lang="en-US" altLang="zh-CN" sz="1200"/>
              <a:t>3  2021</a:t>
            </a:r>
            <a:r>
              <a:rPr altLang="en-US" sz="1200"/>
              <a:t>年</a:t>
            </a:r>
            <a:r>
              <a:rPr lang="en-US" altLang="zh-CN" sz="1200"/>
              <a:t>-2024</a:t>
            </a:r>
            <a:r>
              <a:rPr altLang="en-US" sz="1200"/>
              <a:t>年老城区居民人均可支配收入及增长速度</a:t>
            </a:r>
            <a:endParaRPr lang="en-US" altLang="zh-CN"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485"/>
          <c:y val="0.173611111111111"/>
          <c:w val="0.858263157894737"/>
          <c:h val="0.60680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[公报表.xlsx]Sheet1!$A$19</c:f>
              <c:strCache>
                <c:ptCount val="1"/>
                <c:pt idx="0">
                  <c:v>居民可支配收入（元）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157894736842108"/>
                  <c:y val="0.0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57894736842105"/>
                  <c:y val="0.02777777777777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3333333333333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73684210526316"/>
                  <c:y val="0.02777777777777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[公报表.xlsx]Sheet1!$B$18:$E$18</c:f>
              <c:strCache>
                <c:ptCount val="4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  <c:pt idx="3">
                  <c:v>2024</c:v>
                </c:pt>
              </c:strCache>
            </c:strRef>
          </c:cat>
          <c:val>
            <c:numRef>
              <c:f>[公报表.xlsx]Sheet1!$B$19:$E$19</c:f>
              <c:numCache>
                <c:formatCode>General</c:formatCode>
                <c:ptCount val="4"/>
                <c:pt idx="0">
                  <c:v>39922.7</c:v>
                </c:pt>
                <c:pt idx="1">
                  <c:v>41796.4</c:v>
                </c:pt>
                <c:pt idx="2">
                  <c:v>44514.8</c:v>
                </c:pt>
                <c:pt idx="3">
                  <c:v>47467.5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0"/>
        <c:axId val="432498722"/>
        <c:axId val="460314140"/>
      </c:barChart>
      <c:lineChart>
        <c:grouping val="standard"/>
        <c:varyColors val="0"/>
        <c:ser>
          <c:idx val="1"/>
          <c:order val="1"/>
          <c:tx>
            <c:strRef>
              <c:f>[公报表.xlsx]Sheet1!$A$20</c:f>
              <c:strCache>
                <c:ptCount val="1"/>
                <c:pt idx="0">
                  <c:v>增长速度</c:v>
                </c:pt>
              </c:strCache>
            </c:strRef>
          </c:tx>
          <c:spPr>
            <a:ln w="28575" cap="sq">
              <a:solidFill>
                <a:schemeClr val="accent2"/>
              </a:solidFill>
              <a:round/>
              <a:headEnd type="oval" w="med" len="med"/>
              <a:tailEnd type="oval"/>
            </a:ln>
            <a:effectLst>
              <a:outerShdw blurRad="50800" dist="50800" dir="5400000" sx="1000" sy="1000" algn="ctr" rotWithShape="0">
                <a:srgbClr val="000000">
                  <a:alpha val="43000"/>
                </a:srgbClr>
              </a:outerShdw>
            </a:effectLst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outerShdw blurRad="50800" dist="50800" dir="5400000" sx="1000" sy="1000" algn="ctr" rotWithShape="0">
                  <a:srgbClr val="000000">
                    <a:alpha val="43000"/>
                  </a:srgbClr>
                </a:outerShdw>
              </a:effectLst>
            </c:spPr>
          </c:marker>
          <c:dLbls>
            <c:dLbl>
              <c:idx val="1"/>
              <c:layout>
                <c:manualLayout>
                  <c:x val="-0.0410526315789474"/>
                  <c:y val="-0.102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"/>
                  <c:y val="-0.088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42105263157895"/>
                  <c:y val="-0.01666666666666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[公报表.xlsx]Sheet1!$B$18:$E$18</c:f>
              <c:strCache>
                <c:ptCount val="4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  <c:pt idx="3">
                  <c:v>2024</c:v>
                </c:pt>
              </c:strCache>
            </c:strRef>
          </c:cat>
          <c:val>
            <c:numRef>
              <c:f>[公报表.xlsx]Sheet1!$B$20:$E$20</c:f>
              <c:numCache>
                <c:formatCode>General</c:formatCode>
                <c:ptCount val="4"/>
                <c:pt idx="0">
                  <c:v>7.4</c:v>
                </c:pt>
                <c:pt idx="1">
                  <c:v>4.7</c:v>
                </c:pt>
                <c:pt idx="2">
                  <c:v>6.5</c:v>
                </c:pt>
                <c:pt idx="3">
                  <c:v>6.6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9584024"/>
        <c:axId val="735541868"/>
      </c:lineChart>
      <c:catAx>
        <c:axId val="3895840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5541868"/>
        <c:crosses val="autoZero"/>
        <c:auto val="1"/>
        <c:lblAlgn val="ctr"/>
        <c:lblOffset val="100"/>
        <c:noMultiLvlLbl val="0"/>
      </c:catAx>
      <c:valAx>
        <c:axId val="7355418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9584024"/>
        <c:crosses val="autoZero"/>
        <c:crossBetween val="between"/>
      </c:valAx>
      <c:catAx>
        <c:axId val="432498722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0314140"/>
        <c:crosses val="autoZero"/>
        <c:auto val="1"/>
        <c:lblAlgn val="ctr"/>
        <c:lblOffset val="100"/>
        <c:noMultiLvlLbl val="0"/>
      </c:catAx>
      <c:valAx>
        <c:axId val="460314140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49872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098e977-dc77-4c7b-bd58-91246be8e1d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697</Words>
  <Characters>956</Characters>
  <Lines>0</Lines>
  <Paragraphs>0</Paragraphs>
  <TotalTime>71</TotalTime>
  <ScaleCrop>false</ScaleCrop>
  <LinksUpToDate>false</LinksUpToDate>
  <CharactersWithSpaces>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2025-03-20T01:06:00Z</dcterms:created>
  <dc:creator>Administrator</dc:creator>
  <cp:lastModifiedBy>康天宇</cp:lastModifiedBy>
  <cp:lastPrinted>2025-04-14T03:38:00Z</cp:lastPrinted>
  <dcterms:modified xsi:type="dcterms:W3CDTF">2025-05-28T01:06:54Z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eyJoZGlkIjoiYzEyMWNiNmNlNjdhYzkyMjRlZmRiMmY3NDU0ZGRjMGQiLCJ1c2VySWQiOiI0NTI0MTU5ODMifQ==</vt:lpwstr>
  </property>
  <property fmtid="{D5CDD505-2E9C-101B-9397-08002B2CF9AE}" pid="4" name="ICV">
    <vt:lpwstr>AEFFF404B3E740A7915E1D6A3409925D_12</vt:lpwstr>
  </property>
</Properties>
</file>