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黑体" w:hAnsi="黑体" w:eastAsia="黑体"/>
          <w:sz w:val="32"/>
          <w:szCs w:val="32"/>
        </w:rPr>
      </w:pPr>
      <w:r>
        <w:rPr>
          <w:rFonts w:hint="eastAsia" w:ascii="黑体" w:hAnsi="黑体" w:eastAsia="黑体"/>
          <w:sz w:val="32"/>
          <w:szCs w:val="32"/>
        </w:rPr>
        <w:t>附件5</w:t>
      </w:r>
    </w:p>
    <w:p>
      <w:pPr>
        <w:spacing w:after="0"/>
        <w:jc w:val="center"/>
        <w:rPr>
          <w:rFonts w:ascii="方正小标宋简体" w:hAnsi="黑体" w:eastAsia="方正小标宋简体"/>
          <w:spacing w:val="-24"/>
          <w:sz w:val="44"/>
          <w:szCs w:val="44"/>
        </w:rPr>
      </w:pPr>
      <w:bookmarkStart w:id="0" w:name="_GoBack"/>
      <w:r>
        <w:rPr>
          <w:rFonts w:hint="eastAsia" w:ascii="方正小标宋简体" w:hAnsi="黑体" w:eastAsia="方正小标宋简体"/>
          <w:spacing w:val="-24"/>
          <w:sz w:val="44"/>
          <w:szCs w:val="44"/>
        </w:rPr>
        <w:t>区政府决定规范清理的行政审批</w:t>
      </w:r>
    </w:p>
    <w:p>
      <w:pPr>
        <w:spacing w:after="0"/>
        <w:jc w:val="center"/>
        <w:rPr>
          <w:rFonts w:ascii="方正小标宋简体" w:hAnsi="黑体" w:eastAsia="方正小标宋简体"/>
          <w:spacing w:val="-24"/>
          <w:sz w:val="44"/>
          <w:szCs w:val="44"/>
        </w:rPr>
      </w:pPr>
      <w:r>
        <w:rPr>
          <w:rFonts w:hint="eastAsia" w:ascii="方正小标宋简体" w:hAnsi="黑体" w:eastAsia="方正小标宋简体"/>
          <w:spacing w:val="-24"/>
          <w:sz w:val="44"/>
          <w:szCs w:val="44"/>
        </w:rPr>
        <w:t>中介服务事项目录</w:t>
      </w:r>
    </w:p>
    <w:bookmarkEnd w:id="0"/>
    <w:p>
      <w:pPr>
        <w:spacing w:after="0" w:line="240" w:lineRule="atLeast"/>
        <w:jc w:val="center"/>
        <w:rPr>
          <w:rFonts w:ascii="黑体" w:hAnsi="黑体" w:eastAsia="黑体"/>
          <w:spacing w:val="-24"/>
          <w:sz w:val="32"/>
          <w:szCs w:val="32"/>
        </w:rPr>
      </w:pPr>
      <w:r>
        <w:rPr>
          <w:rFonts w:hint="eastAsia" w:ascii="黑体" w:hAnsi="黑体" w:eastAsia="黑体"/>
          <w:spacing w:val="-24"/>
          <w:sz w:val="32"/>
          <w:szCs w:val="32"/>
        </w:rPr>
        <w:t>（共23项）</w:t>
      </w:r>
    </w:p>
    <w:tbl>
      <w:tblPr>
        <w:tblStyle w:val="2"/>
        <w:tblpPr w:leftFromText="180" w:rightFromText="180" w:vertAnchor="text" w:horzAnchor="margin" w:tblpXSpec="center" w:tblpY="491"/>
        <w:tblW w:w="10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80"/>
        <w:gridCol w:w="1222"/>
        <w:gridCol w:w="1134"/>
        <w:gridCol w:w="3344"/>
        <w:gridCol w:w="3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00" w:type="dxa"/>
            <w:shd w:val="clear" w:color="auto" w:fill="auto"/>
            <w:vAlign w:val="center"/>
          </w:tcPr>
          <w:p>
            <w:pPr>
              <w:widowControl/>
              <w:spacing w:after="0" w:line="240" w:lineRule="atLeast"/>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序号</w:t>
            </w:r>
          </w:p>
        </w:tc>
        <w:tc>
          <w:tcPr>
            <w:tcW w:w="980" w:type="dxa"/>
            <w:shd w:val="clear" w:color="auto" w:fill="auto"/>
            <w:vAlign w:val="center"/>
          </w:tcPr>
          <w:p>
            <w:pPr>
              <w:widowControl/>
              <w:spacing w:after="0" w:line="240" w:lineRule="atLeast"/>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审批</w:t>
            </w:r>
            <w:r>
              <w:rPr>
                <w:rFonts w:hint="eastAsia" w:ascii="黑体" w:hAnsi="宋体" w:eastAsia="黑体" w:cs="宋体"/>
                <w:color w:val="000000"/>
                <w:kern w:val="0"/>
                <w:sz w:val="24"/>
                <w:szCs w:val="24"/>
              </w:rPr>
              <w:br w:type="textWrapping"/>
            </w:r>
            <w:r>
              <w:rPr>
                <w:rFonts w:hint="eastAsia" w:ascii="黑体" w:hAnsi="宋体" w:eastAsia="黑体" w:cs="宋体"/>
                <w:color w:val="000000"/>
                <w:kern w:val="0"/>
                <w:sz w:val="24"/>
                <w:szCs w:val="24"/>
              </w:rPr>
              <w:t>部门</w:t>
            </w:r>
          </w:p>
        </w:tc>
        <w:tc>
          <w:tcPr>
            <w:tcW w:w="1222" w:type="dxa"/>
            <w:shd w:val="clear" w:color="auto" w:fill="auto"/>
            <w:vAlign w:val="center"/>
          </w:tcPr>
          <w:p>
            <w:pPr>
              <w:widowControl/>
              <w:spacing w:after="0" w:line="240" w:lineRule="atLeast"/>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中介服务</w:t>
            </w:r>
            <w:r>
              <w:rPr>
                <w:rFonts w:hint="eastAsia" w:ascii="黑体" w:hAnsi="宋体" w:eastAsia="黑体" w:cs="宋体"/>
                <w:color w:val="000000"/>
                <w:kern w:val="0"/>
                <w:sz w:val="24"/>
                <w:szCs w:val="24"/>
              </w:rPr>
              <w:br w:type="textWrapping"/>
            </w:r>
            <w:r>
              <w:rPr>
                <w:rFonts w:hint="eastAsia" w:ascii="黑体" w:hAnsi="宋体" w:eastAsia="黑体" w:cs="宋体"/>
                <w:color w:val="000000"/>
                <w:kern w:val="0"/>
                <w:sz w:val="24"/>
                <w:szCs w:val="24"/>
              </w:rPr>
              <w:t>事项名称</w:t>
            </w:r>
          </w:p>
        </w:tc>
        <w:tc>
          <w:tcPr>
            <w:tcW w:w="1134" w:type="dxa"/>
            <w:shd w:val="clear" w:color="auto" w:fill="auto"/>
            <w:vAlign w:val="center"/>
          </w:tcPr>
          <w:p>
            <w:pPr>
              <w:widowControl/>
              <w:spacing w:after="0" w:line="240" w:lineRule="atLeast"/>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涉及的审批事项名称</w:t>
            </w:r>
          </w:p>
        </w:tc>
        <w:tc>
          <w:tcPr>
            <w:tcW w:w="3344" w:type="dxa"/>
            <w:shd w:val="clear" w:color="auto" w:fill="auto"/>
            <w:vAlign w:val="center"/>
          </w:tcPr>
          <w:p>
            <w:pPr>
              <w:widowControl/>
              <w:spacing w:after="0" w:line="240" w:lineRule="atLeast"/>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中介服务设定依据</w:t>
            </w:r>
          </w:p>
        </w:tc>
        <w:tc>
          <w:tcPr>
            <w:tcW w:w="3299" w:type="dxa"/>
            <w:shd w:val="clear" w:color="auto" w:fill="auto"/>
            <w:vAlign w:val="center"/>
          </w:tcPr>
          <w:p>
            <w:pPr>
              <w:widowControl/>
              <w:spacing w:after="0" w:line="240" w:lineRule="atLeast"/>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此次清理规范意见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60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98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区发展和改革委员会</w:t>
            </w:r>
          </w:p>
        </w:tc>
        <w:tc>
          <w:tcPr>
            <w:tcW w:w="1222"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节能评估文件编制</w:t>
            </w:r>
          </w:p>
        </w:tc>
        <w:tc>
          <w:tcPr>
            <w:tcW w:w="1134"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固定资产投资项目节能评估审查</w:t>
            </w:r>
          </w:p>
        </w:tc>
        <w:tc>
          <w:tcPr>
            <w:tcW w:w="3344"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《中华人民共和国节约能源法》第十五条、《固定资产投资项目节能评估和审查暂行办法》（国家发改委6号令）第七条、《河南省固定资产投资项目节能评估和审查实施办法》（豫发改环资[2011]1484）第十条</w:t>
            </w:r>
          </w:p>
        </w:tc>
        <w:tc>
          <w:tcPr>
            <w:tcW w:w="3299"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申请人可按要求自行编制节能评估文件，也可委托有关机构编制，审批部门不得以任何形式要求申请人必须委托特定中介机构提供服务；保留审批部门现有的固定资产投资项目节能评估文件技术评估、评审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60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980" w:type="dxa"/>
            <w:shd w:val="clear" w:color="000000" w:fill="FFFFFF"/>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区发展和改革委员会</w:t>
            </w:r>
          </w:p>
        </w:tc>
        <w:tc>
          <w:tcPr>
            <w:tcW w:w="1222" w:type="dxa"/>
            <w:shd w:val="clear" w:color="000000" w:fill="FFFFFF"/>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政府投资补助、转贷、贴息资金申请报告编制</w:t>
            </w:r>
          </w:p>
        </w:tc>
        <w:tc>
          <w:tcPr>
            <w:tcW w:w="1134" w:type="dxa"/>
            <w:shd w:val="clear" w:color="000000" w:fill="FFFFFF"/>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政府投资补助、转贷、贴息资金申请报告审批</w:t>
            </w:r>
          </w:p>
        </w:tc>
        <w:tc>
          <w:tcPr>
            <w:tcW w:w="3344" w:type="dxa"/>
            <w:shd w:val="clear" w:color="000000" w:fill="FFFFFF"/>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《国务院关于投资体制改革的决定》(国发〔2004〕20号)第二条第一款、第三条第四款</w:t>
            </w:r>
          </w:p>
        </w:tc>
        <w:tc>
          <w:tcPr>
            <w:tcW w:w="3299" w:type="dxa"/>
            <w:shd w:val="clear" w:color="000000" w:fill="FFFFFF"/>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仍需申请人提供政府投资补助、转贷、贴息资金申请报告,但申请人可按照要求自行编制,也可委托有关机构编制。审批部门不得以任何形式要求申请人必须委托特定中介服务机构提供服务。保留审批部门现有的申请报告评审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60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98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区教育局</w:t>
            </w:r>
          </w:p>
        </w:tc>
        <w:tc>
          <w:tcPr>
            <w:tcW w:w="1222"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验资报告</w:t>
            </w:r>
          </w:p>
        </w:tc>
        <w:tc>
          <w:tcPr>
            <w:tcW w:w="113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民办学校设立审批（民办学校的设立、变更和终止审批的子项）</w:t>
            </w:r>
          </w:p>
          <w:p>
            <w:pPr>
              <w:widowControl/>
              <w:spacing w:after="0"/>
              <w:jc w:val="left"/>
              <w:rPr>
                <w:rFonts w:ascii="仿宋_GB2312" w:hAnsi="宋体" w:eastAsia="仿宋_GB2312" w:cs="宋体"/>
                <w:color w:val="000000"/>
                <w:kern w:val="0"/>
                <w:sz w:val="24"/>
                <w:szCs w:val="24"/>
              </w:rPr>
            </w:pPr>
          </w:p>
        </w:tc>
        <w:tc>
          <w:tcPr>
            <w:tcW w:w="3344" w:type="dxa"/>
            <w:shd w:val="clear" w:color="auto" w:fill="auto"/>
            <w:vAlign w:val="center"/>
          </w:tcPr>
          <w:p>
            <w:pPr>
              <w:widowControl/>
              <w:spacing w:after="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《中华人民共和国民办教育促进法》第十二条</w:t>
            </w:r>
          </w:p>
        </w:tc>
        <w:tc>
          <w:tcPr>
            <w:tcW w:w="3299"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不再要求申请人提供验资报告，申请人可按要求自行编制资产情况报告，也可委托有关机构编制，审批部门不得以任何形式要求申请人必须委托特定中介机构提供服务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60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98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区教育局</w:t>
            </w:r>
          </w:p>
        </w:tc>
        <w:tc>
          <w:tcPr>
            <w:tcW w:w="1222"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出具财务清算报告</w:t>
            </w:r>
          </w:p>
        </w:tc>
        <w:tc>
          <w:tcPr>
            <w:tcW w:w="113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民办学校的分立、合并、变更和终止审批（民办学校的设立、变更和终止审批的子项）</w:t>
            </w:r>
          </w:p>
        </w:tc>
        <w:tc>
          <w:tcPr>
            <w:tcW w:w="3344" w:type="dxa"/>
            <w:shd w:val="clear" w:color="auto" w:fill="auto"/>
            <w:vAlign w:val="center"/>
          </w:tcPr>
          <w:p>
            <w:pPr>
              <w:widowControl/>
              <w:spacing w:after="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《中华人民共和国民办教育促进法》第五十三条、第五十四条</w:t>
            </w:r>
          </w:p>
        </w:tc>
        <w:tc>
          <w:tcPr>
            <w:tcW w:w="3299"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仍需要申请人提供财务清算报告，但申请人可按要求自行编制，也可委托有关机构编制，审批部门不得以任何形式要求申请人必须委托特定中介机构提供服务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60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98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区民政局</w:t>
            </w:r>
          </w:p>
        </w:tc>
        <w:tc>
          <w:tcPr>
            <w:tcW w:w="1222"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验资证明和资产评估报告</w:t>
            </w:r>
          </w:p>
        </w:tc>
        <w:tc>
          <w:tcPr>
            <w:tcW w:w="113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养老机构设立许可</w:t>
            </w:r>
          </w:p>
        </w:tc>
        <w:tc>
          <w:tcPr>
            <w:tcW w:w="334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《养老机构设立许可办法》（民政部令第48号、2015年修正）第十二条</w:t>
            </w:r>
          </w:p>
        </w:tc>
        <w:tc>
          <w:tcPr>
            <w:tcW w:w="3299"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不再要求申请人提交验资证明和资产评估报告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60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w:t>
            </w:r>
          </w:p>
        </w:tc>
        <w:tc>
          <w:tcPr>
            <w:tcW w:w="98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区民政局</w:t>
            </w:r>
          </w:p>
        </w:tc>
        <w:tc>
          <w:tcPr>
            <w:tcW w:w="1222"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房屋安全质量检测</w:t>
            </w:r>
          </w:p>
        </w:tc>
        <w:tc>
          <w:tcPr>
            <w:tcW w:w="113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养老机构设立许可</w:t>
            </w:r>
          </w:p>
        </w:tc>
        <w:tc>
          <w:tcPr>
            <w:tcW w:w="334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《养老机构设立许可办法》(民政部令第48号、2015年修正)第十二条、《河南省养老机构设立许可管理办法》（豫民〔2013〕7号）第十二条</w:t>
            </w:r>
          </w:p>
        </w:tc>
        <w:tc>
          <w:tcPr>
            <w:tcW w:w="3299"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申请人可按要求提供房屋质量符合养老机构相关规范和技术标准的证明材料，审批部门不得以任何形式要求申请人必须委托特定中介机构提供服务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60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w:t>
            </w:r>
          </w:p>
        </w:tc>
        <w:tc>
          <w:tcPr>
            <w:tcW w:w="98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区人力资源和社会保障局</w:t>
            </w:r>
          </w:p>
        </w:tc>
        <w:tc>
          <w:tcPr>
            <w:tcW w:w="1222"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注册资金证明</w:t>
            </w:r>
          </w:p>
        </w:tc>
        <w:tc>
          <w:tcPr>
            <w:tcW w:w="113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民办职业培训学校审批</w:t>
            </w:r>
          </w:p>
        </w:tc>
        <w:tc>
          <w:tcPr>
            <w:tcW w:w="334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《中华人民共和国民办教育促进法》第十四条</w:t>
            </w:r>
          </w:p>
        </w:tc>
        <w:tc>
          <w:tcPr>
            <w:tcW w:w="3299"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不再要求申请人提供验资报告，申请人可按要求自行编制资产情况报告，也可委托有关机构编制，审批部门不得以任何形式要求申请人必须委托特定中介机构提供服务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60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w:t>
            </w:r>
          </w:p>
        </w:tc>
        <w:tc>
          <w:tcPr>
            <w:tcW w:w="98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区农办</w:t>
            </w:r>
          </w:p>
        </w:tc>
        <w:tc>
          <w:tcPr>
            <w:tcW w:w="1222"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农作物种子生产经营许可申请人固定资产证明</w:t>
            </w:r>
          </w:p>
        </w:tc>
        <w:tc>
          <w:tcPr>
            <w:tcW w:w="113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农作物种子生产经营许可证核发</w:t>
            </w:r>
          </w:p>
        </w:tc>
        <w:tc>
          <w:tcPr>
            <w:tcW w:w="334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《农作物种子生产经营许可管理办法》（农业部令2016年第5号，2017年修正）第十七条</w:t>
            </w:r>
          </w:p>
        </w:tc>
        <w:tc>
          <w:tcPr>
            <w:tcW w:w="3299"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不再要求申请人提供固定资产证明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0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w:t>
            </w:r>
          </w:p>
        </w:tc>
        <w:tc>
          <w:tcPr>
            <w:tcW w:w="98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区农办</w:t>
            </w:r>
          </w:p>
        </w:tc>
        <w:tc>
          <w:tcPr>
            <w:tcW w:w="1222"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提供种子经营涉及计量的检验、包装设备检定材料</w:t>
            </w:r>
          </w:p>
        </w:tc>
        <w:tc>
          <w:tcPr>
            <w:tcW w:w="113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农作物种子生产经营许可证核发</w:t>
            </w:r>
          </w:p>
        </w:tc>
        <w:tc>
          <w:tcPr>
            <w:tcW w:w="334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《农作物种子生产经营许可管理办法》（农业部2016年5号，2017年修正）</w:t>
            </w:r>
          </w:p>
        </w:tc>
        <w:tc>
          <w:tcPr>
            <w:tcW w:w="3299"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不再要求申请人提供检验、包装设备检定材料，检验、包装设备的检定依法由质监部门开展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0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w:t>
            </w:r>
          </w:p>
        </w:tc>
        <w:tc>
          <w:tcPr>
            <w:tcW w:w="98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区农办</w:t>
            </w:r>
          </w:p>
        </w:tc>
        <w:tc>
          <w:tcPr>
            <w:tcW w:w="1222"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林木种子生产许可申请人注册资金证明</w:t>
            </w:r>
          </w:p>
        </w:tc>
        <w:tc>
          <w:tcPr>
            <w:tcW w:w="113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林木种子生产、经营许可</w:t>
            </w:r>
          </w:p>
        </w:tc>
        <w:tc>
          <w:tcPr>
            <w:tcW w:w="334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《林木种子生产经营许可证管理办法》(国家林业局令第40号)</w:t>
            </w:r>
          </w:p>
        </w:tc>
        <w:tc>
          <w:tcPr>
            <w:tcW w:w="3299"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不再要求申请人提供注册资金证明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0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w:t>
            </w:r>
          </w:p>
        </w:tc>
        <w:tc>
          <w:tcPr>
            <w:tcW w:w="98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区农办</w:t>
            </w:r>
          </w:p>
        </w:tc>
        <w:tc>
          <w:tcPr>
            <w:tcW w:w="1222"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林木种子经营许可申请人注册资金证明</w:t>
            </w:r>
          </w:p>
        </w:tc>
        <w:tc>
          <w:tcPr>
            <w:tcW w:w="113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林木种子生产、经营许可</w:t>
            </w:r>
          </w:p>
        </w:tc>
        <w:tc>
          <w:tcPr>
            <w:tcW w:w="334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《林木种子生产经营许可证管理办法》(国家林业局令第40号)</w:t>
            </w:r>
          </w:p>
        </w:tc>
        <w:tc>
          <w:tcPr>
            <w:tcW w:w="3299"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不再要求申请人提供注册资金证明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60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w:t>
            </w:r>
          </w:p>
        </w:tc>
        <w:tc>
          <w:tcPr>
            <w:tcW w:w="98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区卫计委</w:t>
            </w:r>
          </w:p>
        </w:tc>
        <w:tc>
          <w:tcPr>
            <w:tcW w:w="1222"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健康体检</w:t>
            </w:r>
          </w:p>
        </w:tc>
        <w:tc>
          <w:tcPr>
            <w:tcW w:w="113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医师执业注册</w:t>
            </w:r>
          </w:p>
        </w:tc>
        <w:tc>
          <w:tcPr>
            <w:tcW w:w="3344" w:type="dxa"/>
            <w:shd w:val="clear" w:color="auto" w:fill="auto"/>
            <w:vAlign w:val="center"/>
          </w:tcPr>
          <w:p>
            <w:pPr>
              <w:widowControl/>
              <w:spacing w:after="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《医师执业注册暂行办法》（卫生部令第5号）第七条  申请医师执业注册，应当提交下列材料：（四）注册主管部门指定的医疗机构出具的申请人6个月内的健康体验表；</w:t>
            </w:r>
          </w:p>
        </w:tc>
        <w:tc>
          <w:tcPr>
            <w:tcW w:w="3299"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不再出具医疗机构出具的申请人6个月内的健康体验表；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8" w:hRule="atLeast"/>
        </w:trPr>
        <w:tc>
          <w:tcPr>
            <w:tcW w:w="60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w:t>
            </w:r>
          </w:p>
        </w:tc>
        <w:tc>
          <w:tcPr>
            <w:tcW w:w="98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区卫计委</w:t>
            </w:r>
          </w:p>
        </w:tc>
        <w:tc>
          <w:tcPr>
            <w:tcW w:w="1222" w:type="dxa"/>
            <w:shd w:val="clear" w:color="auto" w:fill="auto"/>
            <w:noWrap/>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健康证明</w:t>
            </w:r>
          </w:p>
        </w:tc>
        <w:tc>
          <w:tcPr>
            <w:tcW w:w="1134" w:type="dxa"/>
            <w:shd w:val="clear" w:color="000000" w:fill="FFFFFF"/>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外籍医师在华短期执业许可</w:t>
            </w:r>
          </w:p>
        </w:tc>
        <w:tc>
          <w:tcPr>
            <w:tcW w:w="3344" w:type="dxa"/>
            <w:shd w:val="clear" w:color="000000" w:fill="FFFFFF"/>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《外国医师来华短期行医暂行管理办法》（卫生部令第24号）第十条  申请外国医师来华短期行医注册，必须提交下列文件： （四） 外国医师的健康证明。</w:t>
            </w:r>
          </w:p>
        </w:tc>
        <w:tc>
          <w:tcPr>
            <w:tcW w:w="3299" w:type="dxa"/>
            <w:shd w:val="clear" w:color="000000" w:fill="FFFFFF"/>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8" w:hRule="atLeast"/>
        </w:trPr>
        <w:tc>
          <w:tcPr>
            <w:tcW w:w="60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w:t>
            </w:r>
          </w:p>
        </w:tc>
        <w:tc>
          <w:tcPr>
            <w:tcW w:w="98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区安全生产监督管理局</w:t>
            </w:r>
          </w:p>
        </w:tc>
        <w:tc>
          <w:tcPr>
            <w:tcW w:w="1222"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建设项目安全设施设计文件专家意见</w:t>
            </w:r>
          </w:p>
        </w:tc>
        <w:tc>
          <w:tcPr>
            <w:tcW w:w="113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金属冶炼建设项目安全设施设计审查</w:t>
            </w:r>
          </w:p>
        </w:tc>
        <w:tc>
          <w:tcPr>
            <w:tcW w:w="334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《中华人民共和国安全生产法》（2014年修正）第三十条  矿山、金属冶炼建设项目和用于生产、储存、装卸危险物品的建设项目的安全设施设计应当按照国家有关规定报经有关部门审查。《建设项目安全设施“三同时”监督管理暂行办法》（国家安监总局令第36号）第十二条 本办法第七条第一项、第二项、第三项、第四项规定的建设项目安全设施设计完成后，生产经营单位应当按照本办法第五条的规定向安全生产监督管理部门提出审查申请，并提交下列文件资料：（四）建设项目安全设施设计；（五）建设项目安全预评价报告及相关文件资料；</w:t>
            </w:r>
          </w:p>
        </w:tc>
        <w:tc>
          <w:tcPr>
            <w:tcW w:w="3299"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不再要求申请人提供金属冶炼建设项目安全设施设计文件专家意见，改由审批部门委托有关机构开展技术性服务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0" w:hRule="atLeast"/>
        </w:trPr>
        <w:tc>
          <w:tcPr>
            <w:tcW w:w="60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w:t>
            </w:r>
          </w:p>
        </w:tc>
        <w:tc>
          <w:tcPr>
            <w:tcW w:w="980"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区安全生产监督管理局</w:t>
            </w:r>
          </w:p>
        </w:tc>
        <w:tc>
          <w:tcPr>
            <w:tcW w:w="1222"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严重职业病危害的建设项目职业病防护设施设计专篇</w:t>
            </w:r>
          </w:p>
        </w:tc>
        <w:tc>
          <w:tcPr>
            <w:tcW w:w="1134"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可能产生职业病危害的建设项目预评价报告审核、严重职业病危害的建设项目职业病防护设施设计审查和竣工验收</w:t>
            </w:r>
          </w:p>
        </w:tc>
        <w:tc>
          <w:tcPr>
            <w:tcW w:w="3344"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《中华人民共和国职业病防治法》第十七条、第十八条; 《建设项目职业卫生“三同时”监督管理暂行办法》(安全生产监督管理总局令第51号)第五条、第六条、第七条、第十二条、第二十条、第二十九条、第三十条</w:t>
            </w:r>
          </w:p>
        </w:tc>
        <w:tc>
          <w:tcPr>
            <w:tcW w:w="3299" w:type="dxa"/>
            <w:shd w:val="clear" w:color="000000" w:fill="FFFFFF"/>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不再要求申请人提供严重职业病危害的建设项目职业病防护设施设计专篇，取消严重职业病危害的建设项目职业病防护设施设计审查审批事项，由项目建设单位按标准开展建设项目职业病防护设施"三同时"工作。安全生产监管部门完善标准，加强职业卫生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4" w:hRule="atLeast"/>
        </w:trPr>
        <w:tc>
          <w:tcPr>
            <w:tcW w:w="600" w:type="dxa"/>
            <w:shd w:val="clear" w:color="auto" w:fill="auto"/>
            <w:noWrap/>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16</w:t>
            </w:r>
          </w:p>
        </w:tc>
        <w:tc>
          <w:tcPr>
            <w:tcW w:w="980"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区安全生产监督管理局</w:t>
            </w:r>
          </w:p>
        </w:tc>
        <w:tc>
          <w:tcPr>
            <w:tcW w:w="1222"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特种作业人员培训</w:t>
            </w:r>
          </w:p>
        </w:tc>
        <w:tc>
          <w:tcPr>
            <w:tcW w:w="113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特种作业操作资格证核发</w:t>
            </w:r>
          </w:p>
        </w:tc>
        <w:tc>
          <w:tcPr>
            <w:tcW w:w="334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《中华人民共和国安全生产法》（中华人民共和国主席令第十三号）第二十七条：“生产经营单位的特种作业人员必须按照国家有关规定经专门的安全作业培训，取得相应资格，方可上岗作业。”</w:t>
            </w:r>
          </w:p>
        </w:tc>
        <w:tc>
          <w:tcPr>
            <w:tcW w:w="3299"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9" w:hRule="atLeast"/>
        </w:trPr>
        <w:tc>
          <w:tcPr>
            <w:tcW w:w="600" w:type="dxa"/>
            <w:shd w:val="clear" w:color="auto" w:fill="auto"/>
            <w:noWrap/>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17</w:t>
            </w:r>
          </w:p>
        </w:tc>
        <w:tc>
          <w:tcPr>
            <w:tcW w:w="980"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区安全生产监督管理局</w:t>
            </w:r>
          </w:p>
        </w:tc>
        <w:tc>
          <w:tcPr>
            <w:tcW w:w="1222"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危险化学品建设项目安全评价报告</w:t>
            </w:r>
          </w:p>
        </w:tc>
        <w:tc>
          <w:tcPr>
            <w:tcW w:w="113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危险化学品建设项目安全条件审查</w:t>
            </w:r>
          </w:p>
        </w:tc>
        <w:tc>
          <w:tcPr>
            <w:tcW w:w="334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《危险化学品建设项目安全监督管理办法》（国家安监总局令第45号）第十一条 建设单位应当在建设项目开始初步设计前，向与本办法第四条、第五条规定相应的安全生产监督管理部门申请建设项目安全条件审查，提交下列文件、资料，并对其真实性负责：（三）建设项目安全评价报告。</w:t>
            </w:r>
          </w:p>
        </w:tc>
        <w:tc>
          <w:tcPr>
            <w:tcW w:w="3299"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600" w:type="dxa"/>
            <w:shd w:val="clear" w:color="auto" w:fill="auto"/>
            <w:noWrap/>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18</w:t>
            </w:r>
          </w:p>
        </w:tc>
        <w:tc>
          <w:tcPr>
            <w:tcW w:w="980"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区安全生产监督管理局</w:t>
            </w:r>
          </w:p>
        </w:tc>
        <w:tc>
          <w:tcPr>
            <w:tcW w:w="1222"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建设项目安全设施设计文件</w:t>
            </w:r>
          </w:p>
        </w:tc>
        <w:tc>
          <w:tcPr>
            <w:tcW w:w="113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金属冶炼建设项目安全设施设计审查</w:t>
            </w:r>
          </w:p>
        </w:tc>
        <w:tc>
          <w:tcPr>
            <w:tcW w:w="334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《中华人民共和国安全生产法》（2014年修正）第三十条  矿山、金属冶炼建设项目和用于生产、储存、装卸危险物品的建设项目的安全设施设计应当按照国家有关规定报经有关部门审查。《建设项目安全设施“三同时”监督管理暂行办法》（国家安监总局令第36号）第十二条 本办法第七条第一项、第二项、第三项、第四项规定的建设项目安全设施设计完成后，生产经营单位应当按照本办法第五条的规定向安全生产监督管理部门提出审查申请，并提交下列文件资料：（四）建设项目安全设施设计；（五）建设项目安全预评价报告及相关文件资料；</w:t>
            </w:r>
          </w:p>
        </w:tc>
        <w:tc>
          <w:tcPr>
            <w:tcW w:w="3299"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5" w:hRule="atLeast"/>
        </w:trPr>
        <w:tc>
          <w:tcPr>
            <w:tcW w:w="600" w:type="dxa"/>
            <w:shd w:val="clear" w:color="auto" w:fill="auto"/>
            <w:noWrap/>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19</w:t>
            </w:r>
          </w:p>
        </w:tc>
        <w:tc>
          <w:tcPr>
            <w:tcW w:w="980"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区安全生产监督管理局</w:t>
            </w:r>
          </w:p>
        </w:tc>
        <w:tc>
          <w:tcPr>
            <w:tcW w:w="1222"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建设项目安全预评价报告</w:t>
            </w:r>
          </w:p>
        </w:tc>
        <w:tc>
          <w:tcPr>
            <w:tcW w:w="1134"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金属冶炼建设项目安全设施设计审查</w:t>
            </w:r>
          </w:p>
        </w:tc>
        <w:tc>
          <w:tcPr>
            <w:tcW w:w="3344"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《中华人民共和国安全生产法》（2014年修正）第三十条  矿山、金属冶炼建设项目和用于生产、储存、装卸危险物品的建设项目的安全设施设计应当按照国家有关规定报经有关部门审查。《建设项目安全设施“三同时”监督管理暂行办法》（国家安监总局令第36号）第十二条 本办法第七条第一项、第二项、第三项、第四项规定的建设项目安全设施设计完成后，生产经营单位应当按照本办法第五条的规定向安全生产监督管理部门提出审查申请，并提交下列文件资料：（四）建设项目安全设施设计；（五）建设项目安全预评价报告及相关文件资料</w:t>
            </w:r>
          </w:p>
        </w:tc>
        <w:tc>
          <w:tcPr>
            <w:tcW w:w="3299" w:type="dxa"/>
            <w:shd w:val="clear" w:color="auto" w:fill="auto"/>
            <w:vAlign w:val="center"/>
          </w:tcPr>
          <w:p>
            <w:pPr>
              <w:widowControl/>
              <w:spacing w:after="0"/>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申请人可按要求自行编制安全预评价文件，也可委托有关机构编制，审批部门不得以任何形式要求申请人必须委托特定中介机构提供服务；审批部门完善审核标准，申请人按审核标准提供初步设计阶段安全设施设计文件，审批部门按标准和要求对安全设施设计文件进行严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0" w:hRule="atLeast"/>
        </w:trPr>
        <w:tc>
          <w:tcPr>
            <w:tcW w:w="600" w:type="dxa"/>
            <w:shd w:val="clear" w:color="auto" w:fill="auto"/>
            <w:noWrap/>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w:t>
            </w:r>
          </w:p>
        </w:tc>
        <w:tc>
          <w:tcPr>
            <w:tcW w:w="980"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区安全生产监督管理局</w:t>
            </w:r>
          </w:p>
        </w:tc>
        <w:tc>
          <w:tcPr>
            <w:tcW w:w="1222"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危险化学品企业安全验收评价报告或安全现状评价报告</w:t>
            </w:r>
          </w:p>
        </w:tc>
        <w:tc>
          <w:tcPr>
            <w:tcW w:w="113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省级范围内危险化学品生产企业安全生产许可证核发（非中央企业及直接控股涉及危险化学品生产企业）</w:t>
            </w:r>
          </w:p>
        </w:tc>
        <w:tc>
          <w:tcPr>
            <w:tcW w:w="334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《危险化学品生产企业安全生产许可证实施办法》（安监总局41号令）第二十五条　企业申请安全生产许可证时，应当提交下列文件、资料，并对其内容的真实性负责：（十）具备资质的中介机构出具的安全评价报告；</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《危险化学品建设项目安全监督管理办法》（安监总局45号令）第二十五条  建设项目试生产期间，建设单位应当按照本办法的规定委托有相应资质的安全评价机构对建设项目及其安全设施试生产（使用）情况进行安全验收评价。</w:t>
            </w:r>
          </w:p>
        </w:tc>
        <w:tc>
          <w:tcPr>
            <w:tcW w:w="3299"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atLeast"/>
        </w:trPr>
        <w:tc>
          <w:tcPr>
            <w:tcW w:w="600" w:type="dxa"/>
            <w:shd w:val="clear" w:color="auto" w:fill="auto"/>
            <w:noWrap/>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21</w:t>
            </w:r>
          </w:p>
        </w:tc>
        <w:tc>
          <w:tcPr>
            <w:tcW w:w="980"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区安全生产监督管理局</w:t>
            </w:r>
          </w:p>
        </w:tc>
        <w:tc>
          <w:tcPr>
            <w:tcW w:w="1222"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危险化学品使用企业安全评价报告</w:t>
            </w:r>
          </w:p>
        </w:tc>
        <w:tc>
          <w:tcPr>
            <w:tcW w:w="113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危险化学品安全使用许可证核发</w:t>
            </w:r>
          </w:p>
        </w:tc>
        <w:tc>
          <w:tcPr>
            <w:tcW w:w="334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《危险化学品安全使用许可证实施办法》（国家安监总局令第57号）第十八条 企业向发证机关申请安全使用许可证时，应当提交下列文件、资料，并对其内容的真实性负责：（九）安全评价报告及其整改结果的报告；第十三条：企业应当依法委托具备国家规定资质条件的安全评价机构进行安全评价，并按照安全评价报告的意见对存在的安全生产问题进行整改。</w:t>
            </w:r>
          </w:p>
        </w:tc>
        <w:tc>
          <w:tcPr>
            <w:tcW w:w="3299"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atLeast"/>
        </w:trPr>
        <w:tc>
          <w:tcPr>
            <w:tcW w:w="600" w:type="dxa"/>
            <w:shd w:val="clear" w:color="auto" w:fill="auto"/>
            <w:noWrap/>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22</w:t>
            </w:r>
          </w:p>
        </w:tc>
        <w:tc>
          <w:tcPr>
            <w:tcW w:w="980"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区安全生产监督管理局</w:t>
            </w:r>
          </w:p>
        </w:tc>
        <w:tc>
          <w:tcPr>
            <w:tcW w:w="1222"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危险化学品仓储经营企业安全评价报告</w:t>
            </w:r>
          </w:p>
        </w:tc>
        <w:tc>
          <w:tcPr>
            <w:tcW w:w="113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危险化学品（含仓储经营）经营许可</w:t>
            </w:r>
          </w:p>
        </w:tc>
        <w:tc>
          <w:tcPr>
            <w:tcW w:w="334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《危险化学品经营许可证管理办法》（国家安监总局令第55号）第九条 申请人申请经营许可证，应当依照本办法第五条规定向所在地市级或者县级发证机关（以下统称发证机关）提出申请，提交下列文件、资料，并对其真实性负责：...带有储存设施经营危险化学品的，申请人还应当提交下列文件、资料：（三）安全评价报告。</w:t>
            </w:r>
          </w:p>
        </w:tc>
        <w:tc>
          <w:tcPr>
            <w:tcW w:w="3299"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0" w:hRule="atLeast"/>
        </w:trPr>
        <w:tc>
          <w:tcPr>
            <w:tcW w:w="600" w:type="dxa"/>
            <w:shd w:val="clear" w:color="auto" w:fill="auto"/>
            <w:noWrap/>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23</w:t>
            </w:r>
          </w:p>
        </w:tc>
        <w:tc>
          <w:tcPr>
            <w:tcW w:w="980"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区文化局</w:t>
            </w:r>
          </w:p>
        </w:tc>
        <w:tc>
          <w:tcPr>
            <w:tcW w:w="1222"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验资报告</w:t>
            </w:r>
          </w:p>
        </w:tc>
        <w:tc>
          <w:tcPr>
            <w:tcW w:w="113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办理演出场所、娱乐场所、网络文化等经营单位设立</w:t>
            </w:r>
          </w:p>
        </w:tc>
        <w:tc>
          <w:tcPr>
            <w:tcW w:w="3344" w:type="dxa"/>
            <w:shd w:val="clear" w:color="auto" w:fill="auto"/>
            <w:vAlign w:val="center"/>
          </w:tcPr>
          <w:p>
            <w:pPr>
              <w:widowControl/>
              <w:spacing w:after="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国务院关于印发注册资本登记制度改革方案的通知》（国发〔2014〕7号）</w:t>
            </w:r>
          </w:p>
        </w:tc>
        <w:tc>
          <w:tcPr>
            <w:tcW w:w="3299" w:type="dxa"/>
            <w:shd w:val="clear" w:color="auto" w:fill="auto"/>
            <w:vAlign w:val="center"/>
          </w:tcPr>
          <w:p>
            <w:pPr>
              <w:widowControl/>
              <w:spacing w:after="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不再要求申请人提供验资报告</w:t>
            </w:r>
          </w:p>
        </w:tc>
      </w:tr>
    </w:tbl>
    <w:p>
      <w:pPr>
        <w:spacing w:after="0"/>
        <w:rPr>
          <w:rFonts w:ascii="黑体" w:hAnsi="黑体" w:eastAsia="黑体"/>
          <w:sz w:val="32"/>
          <w:szCs w:val="32"/>
        </w:rPr>
      </w:pPr>
    </w:p>
    <w:p>
      <w:pPr>
        <w:spacing w:after="0"/>
        <w:rPr>
          <w:rFonts w:ascii="黑体" w:hAnsi="黑体" w:eastAsia="黑体"/>
          <w:sz w:val="32"/>
          <w:szCs w:val="32"/>
        </w:rPr>
      </w:pPr>
    </w:p>
    <w:p>
      <w:pPr>
        <w:spacing w:after="0"/>
        <w:rPr>
          <w:rFonts w:ascii="黑体" w:hAnsi="黑体" w:eastAsia="黑体"/>
          <w:sz w:val="32"/>
          <w:szCs w:val="32"/>
        </w:rPr>
      </w:pPr>
    </w:p>
    <w:p>
      <w:pPr>
        <w:spacing w:after="0"/>
        <w:rPr>
          <w:rFonts w:ascii="黑体" w:hAnsi="黑体" w:eastAsia="黑体"/>
          <w:sz w:val="32"/>
          <w:szCs w:val="32"/>
        </w:rPr>
      </w:pPr>
    </w:p>
    <w:p>
      <w:pPr>
        <w:spacing w:after="0"/>
        <w:rPr>
          <w:rFonts w:ascii="黑体" w:hAnsi="黑体" w:eastAsia="黑体"/>
          <w:sz w:val="32"/>
          <w:szCs w:val="32"/>
        </w:rPr>
      </w:pPr>
    </w:p>
    <w:p>
      <w:pPr>
        <w:spacing w:after="0"/>
        <w:rPr>
          <w:rFonts w:ascii="黑体" w:hAnsi="黑体" w:eastAsia="黑体"/>
          <w:sz w:val="32"/>
          <w:szCs w:val="32"/>
        </w:rPr>
      </w:pPr>
    </w:p>
    <w:p>
      <w:pPr>
        <w:spacing w:after="0"/>
        <w:rPr>
          <w:rFonts w:ascii="黑体" w:hAnsi="黑体" w:eastAsia="黑体"/>
          <w:sz w:val="32"/>
          <w:szCs w:val="32"/>
        </w:rPr>
      </w:pPr>
    </w:p>
    <w:p>
      <w:pPr>
        <w:spacing w:after="0"/>
        <w:rPr>
          <w:rFonts w:ascii="黑体" w:hAnsi="黑体" w:eastAsia="黑体"/>
          <w:sz w:val="32"/>
          <w:szCs w:val="32"/>
        </w:rPr>
      </w:pPr>
    </w:p>
    <w:p>
      <w:pPr>
        <w:spacing w:after="0"/>
        <w:rPr>
          <w:rFonts w:ascii="黑体" w:hAnsi="黑体" w:eastAsia="黑体"/>
          <w:sz w:val="32"/>
          <w:szCs w:val="32"/>
        </w:rPr>
      </w:pPr>
    </w:p>
    <w:p>
      <w:pPr>
        <w:spacing w:after="0"/>
        <w:rPr>
          <w:rFonts w:ascii="黑体" w:hAnsi="黑体" w:eastAsia="黑体"/>
          <w:sz w:val="32"/>
          <w:szCs w:val="32"/>
        </w:rPr>
      </w:pPr>
    </w:p>
    <w:p>
      <w:pPr>
        <w:spacing w:after="0"/>
        <w:rPr>
          <w:rFonts w:ascii="黑体" w:hAnsi="黑体" w:eastAsia="黑体"/>
          <w:sz w:val="32"/>
          <w:szCs w:val="32"/>
        </w:rPr>
      </w:pPr>
    </w:p>
    <w:p>
      <w:pPr>
        <w:spacing w:after="0"/>
        <w:rPr>
          <w:rFonts w:ascii="黑体" w:hAnsi="黑体" w:eastAsia="黑体"/>
          <w:sz w:val="32"/>
          <w:szCs w:val="32"/>
        </w:rPr>
      </w:pPr>
    </w:p>
    <w:p>
      <w:pPr>
        <w:spacing w:after="0"/>
        <w:rPr>
          <w:rFonts w:ascii="黑体" w:hAnsi="黑体" w:eastAsia="黑体"/>
          <w:sz w:val="32"/>
          <w:szCs w:val="32"/>
        </w:rPr>
      </w:pPr>
    </w:p>
    <w:p>
      <w:pPr>
        <w:spacing w:after="0"/>
        <w:rPr>
          <w:rFonts w:ascii="黑体" w:hAnsi="黑体" w:eastAsia="黑体"/>
          <w:sz w:val="32"/>
          <w:szCs w:val="32"/>
        </w:rPr>
      </w:pPr>
    </w:p>
    <w:p>
      <w:pPr>
        <w:spacing w:after="0"/>
        <w:rPr>
          <w:rFonts w:ascii="黑体" w:hAnsi="黑体" w:eastAsia="黑体"/>
          <w:sz w:val="32"/>
          <w:szCs w:val="32"/>
        </w:rPr>
      </w:pPr>
    </w:p>
    <w:p>
      <w:pPr>
        <w:spacing w:after="0"/>
        <w:rPr>
          <w:rFonts w:ascii="黑体" w:hAnsi="黑体" w:eastAsia="黑体"/>
          <w:sz w:val="32"/>
          <w:szCs w:val="32"/>
        </w:rPr>
      </w:pPr>
    </w:p>
    <w:p>
      <w:pPr>
        <w:spacing w:after="0"/>
        <w:rPr>
          <w:rFonts w:ascii="黑体" w:hAnsi="黑体" w:eastAsia="黑体"/>
          <w:sz w:val="32"/>
          <w:szCs w:val="32"/>
        </w:rPr>
      </w:pPr>
    </w:p>
    <w:p>
      <w:pPr>
        <w:spacing w:after="0"/>
        <w:rPr>
          <w:rFonts w:ascii="黑体" w:hAns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D65A2"/>
    <w:rsid w:val="16C31EF4"/>
    <w:rsid w:val="2B8D65A2"/>
    <w:rsid w:val="2F182CDB"/>
    <w:rsid w:val="75DF5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2019-10-21T02:16:00Z</dcterms:created>
  <dc:creator>金</dc:creator>
  <cp:lastModifiedBy>金</cp:lastModifiedBy>
  <dcterms:modified xsi:type="dcterms:W3CDTF">2019-10-21T02:20:07Z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